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2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3B5700" w:rsidTr="003B5700">
        <w:tc>
          <w:tcPr>
            <w:tcW w:w="93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pct10" w:color="000000" w:fill="FFFFFF"/>
          </w:tcPr>
          <w:p w:rsidR="003B5700" w:rsidRDefault="003B5700">
            <w:pPr>
              <w:spacing w:line="120" w:lineRule="exact"/>
            </w:pPr>
          </w:p>
          <w:p w:rsidR="003B5700" w:rsidRDefault="003B5700" w:rsidP="003B5700">
            <w:pPr>
              <w:tabs>
                <w:tab w:val="center" w:pos="5136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  <w:t>MESSAGE</w:t>
            </w:r>
          </w:p>
          <w:p w:rsidR="003B5700" w:rsidRDefault="003B5700" w:rsidP="00005489">
            <w:pPr>
              <w:tabs>
                <w:tab w:val="center" w:pos="5136"/>
              </w:tabs>
              <w:spacing w:after="58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TO NON-P.E.N.T. STUDENTS</w:t>
            </w:r>
            <w:r w:rsidR="00846D89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 xml:space="preserve"> April – July 20</w:t>
            </w:r>
            <w:r w:rsidR="00005489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21</w:t>
            </w:r>
          </w:p>
        </w:tc>
      </w:tr>
    </w:tbl>
    <w:p w:rsidR="003B5700" w:rsidRDefault="003B5700" w:rsidP="003B5700">
      <w:pPr>
        <w:jc w:val="both"/>
        <w:rPr>
          <w:rFonts w:ascii="Times New Roman" w:hAnsi="Times New Roman"/>
          <w:sz w:val="24"/>
          <w:lang w:val="en-GB"/>
        </w:rPr>
      </w:pPr>
    </w:p>
    <w:p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PENT cour</w:t>
      </w:r>
      <w:r w:rsidR="007C7976">
        <w:rPr>
          <w:rFonts w:ascii="Times New Roman" w:hAnsi="Times New Roman"/>
          <w:sz w:val="22"/>
          <w:szCs w:val="22"/>
          <w:lang w:val="en-GB"/>
        </w:rPr>
        <w:t>ses are scheduled for PENT stude</w:t>
      </w:r>
      <w:r w:rsidRPr="00A11643">
        <w:rPr>
          <w:rFonts w:ascii="Times New Roman" w:hAnsi="Times New Roman"/>
          <w:sz w:val="22"/>
          <w:szCs w:val="22"/>
          <w:lang w:val="en-GB"/>
        </w:rPr>
        <w:t>nts</w:t>
      </w:r>
      <w:r w:rsidR="007C7976">
        <w:rPr>
          <w:rFonts w:ascii="Times New Roman" w:hAnsi="Times New Roman"/>
          <w:sz w:val="22"/>
          <w:szCs w:val="22"/>
          <w:lang w:val="en-GB"/>
        </w:rPr>
        <w:t>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PENT courses are administered separately from other on-campus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courses.</w:t>
      </w:r>
      <w:r w:rsidR="0053768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7C7976" w:rsidRDefault="007C7976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In 2021, PENT courses will begin on April 5.  You can find the PENT course timetable on the Brandon University website under Faculty of Education.</w:t>
      </w:r>
    </w:p>
    <w:p w:rsidR="00537682" w:rsidRPr="00A11643" w:rsidRDefault="00537682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DB2110" w:rsidRPr="00A11643" w:rsidRDefault="006B2FDE" w:rsidP="00DB211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TAKING A COURSE IN PENT</w:t>
      </w:r>
    </w:p>
    <w:p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7C7976" w:rsidRDefault="007C7976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Beginning on Monday, March 1, should you wish to get your name on the waiting list for a course, you can email Bernice at </w:t>
      </w:r>
      <w:hyperlink r:id="rId4" w:history="1">
        <w:r w:rsidRPr="00CF1B56">
          <w:rPr>
            <w:rStyle w:val="Hyperlink"/>
            <w:rFonts w:ascii="Times New Roman" w:hAnsi="Times New Roman"/>
            <w:sz w:val="22"/>
            <w:szCs w:val="22"/>
            <w:lang w:val="en-GB"/>
          </w:rPr>
          <w:t>galvinb@brandonu.ca</w:t>
        </w:r>
      </w:hyperlink>
      <w:r>
        <w:rPr>
          <w:rFonts w:ascii="Times New Roman" w:hAnsi="Times New Roman"/>
          <w:sz w:val="22"/>
          <w:szCs w:val="22"/>
          <w:lang w:val="en-GB"/>
        </w:rPr>
        <w:t>.  Please provide your name, student number and name of the course or courses</w:t>
      </w:r>
      <w:r w:rsidR="00D26A4C">
        <w:rPr>
          <w:rFonts w:ascii="Times New Roman" w:hAnsi="Times New Roman"/>
          <w:sz w:val="22"/>
          <w:szCs w:val="22"/>
          <w:lang w:val="en-GB"/>
        </w:rPr>
        <w:t xml:space="preserve"> you are interested in studying</w:t>
      </w:r>
      <w:r w:rsidR="00DF630F">
        <w:rPr>
          <w:rFonts w:ascii="Times New Roman" w:hAnsi="Times New Roman"/>
          <w:sz w:val="22"/>
          <w:szCs w:val="22"/>
          <w:lang w:val="en-GB"/>
        </w:rPr>
        <w:t xml:space="preserve"> through PENT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en-GB"/>
        </w:rPr>
        <w:t>.</w:t>
      </w:r>
    </w:p>
    <w:p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Sponsored students should include the name of his or her sponsor. This list is merely to establish priority for spaces that may be available for spring and summer courses.  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This is not your registration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.</w:t>
      </w:r>
    </w:p>
    <w:p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Students whose sponsor is also a sponsor of PENT students will be given priority over other non-PENT students.</w:t>
      </w: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  <w:t>AVAILABILITY OF PENT COURSES FOR NON-PENT STUDENTS</w:t>
      </w: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Most class sizes are limited to 35 students.  These spaces are reserved for PENT students, however, should not all spa</w:t>
      </w:r>
      <w:r w:rsidR="009D6CC6">
        <w:rPr>
          <w:rFonts w:ascii="Times New Roman" w:hAnsi="Times New Roman"/>
          <w:sz w:val="22"/>
          <w:szCs w:val="22"/>
          <w:lang w:val="en-GB"/>
        </w:rPr>
        <w:t>ces be needed for PENT students,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we will be pleased to accept other students.  The exact number of spaces available in each course will only be known after PENT studen</w:t>
      </w:r>
      <w:r w:rsidR="009D6CC6">
        <w:rPr>
          <w:rFonts w:ascii="Times New Roman" w:hAnsi="Times New Roman"/>
          <w:sz w:val="22"/>
          <w:szCs w:val="22"/>
          <w:lang w:val="en-GB"/>
        </w:rPr>
        <w:t xml:space="preserve">ts have registered. </w:t>
      </w:r>
    </w:p>
    <w:p w:rsidR="006B2FDE" w:rsidRDefault="006B2FDE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6B2FDE" w:rsidRDefault="006B2FDE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On March 22</w:t>
      </w:r>
      <w:r w:rsidRPr="006B2FDE">
        <w:rPr>
          <w:rFonts w:ascii="Times New Roman" w:hAnsi="Times New Roman"/>
          <w:sz w:val="22"/>
          <w:szCs w:val="22"/>
          <w:vertAlign w:val="superscript"/>
          <w:lang w:val="en-GB"/>
        </w:rPr>
        <w:t>nd</w:t>
      </w:r>
      <w:r>
        <w:rPr>
          <w:rFonts w:ascii="Times New Roman" w:hAnsi="Times New Roman"/>
          <w:sz w:val="22"/>
          <w:szCs w:val="22"/>
          <w:lang w:val="en-GB"/>
        </w:rPr>
        <w:t xml:space="preserve">, PENT will inform students on the waiting list as to whether or not there is room in the course.  </w:t>
      </w:r>
      <w:r w:rsidR="00426D04">
        <w:rPr>
          <w:rFonts w:ascii="Times New Roman" w:hAnsi="Times New Roman"/>
          <w:b/>
          <w:sz w:val="22"/>
          <w:szCs w:val="22"/>
          <w:lang w:val="en-GB"/>
        </w:rPr>
        <w:t>No students can</w:t>
      </w:r>
      <w:r w:rsidRPr="006B2FDE">
        <w:rPr>
          <w:rFonts w:ascii="Times New Roman" w:hAnsi="Times New Roman"/>
          <w:b/>
          <w:sz w:val="22"/>
          <w:szCs w:val="22"/>
          <w:lang w:val="en-GB"/>
        </w:rPr>
        <w:t xml:space="preserve"> register prior to notification on March 22</w:t>
      </w:r>
      <w:r w:rsidRPr="006B2FDE">
        <w:rPr>
          <w:rFonts w:ascii="Times New Roman" w:hAnsi="Times New Roman"/>
          <w:b/>
          <w:sz w:val="22"/>
          <w:szCs w:val="22"/>
          <w:vertAlign w:val="superscript"/>
          <w:lang w:val="en-GB"/>
        </w:rPr>
        <w:t>nd</w:t>
      </w:r>
      <w:r w:rsidRPr="006B2FDE">
        <w:rPr>
          <w:rFonts w:ascii="Times New Roman" w:hAnsi="Times New Roman"/>
          <w:b/>
          <w:sz w:val="22"/>
          <w:szCs w:val="22"/>
          <w:lang w:val="en-GB"/>
        </w:rPr>
        <w:t>.</w:t>
      </w:r>
    </w:p>
    <w:p w:rsidR="00426D04" w:rsidRDefault="00426D04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3B5700" w:rsidRPr="00A11643" w:rsidRDefault="003B5700" w:rsidP="003B5700">
      <w:pPr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REGISTRATION FOR MAY, JUNE, JULY COURSES</w:t>
      </w: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Registration of non-PENT students for May, June, July PENT courses will begin on </w:t>
      </w:r>
      <w:r w:rsidRPr="00492D94">
        <w:rPr>
          <w:rFonts w:ascii="Times New Roman" w:hAnsi="Times New Roman"/>
          <w:b/>
          <w:bCs/>
          <w:sz w:val="22"/>
          <w:szCs w:val="22"/>
          <w:lang w:val="en-GB"/>
        </w:rPr>
        <w:t xml:space="preserve">April </w:t>
      </w:r>
      <w:r w:rsidR="00DB5DA9">
        <w:rPr>
          <w:rFonts w:ascii="Times New Roman" w:hAnsi="Times New Roman"/>
          <w:b/>
          <w:bCs/>
          <w:sz w:val="22"/>
          <w:szCs w:val="22"/>
          <w:lang w:val="en-GB"/>
        </w:rPr>
        <w:t>1</w:t>
      </w:r>
      <w:r w:rsidR="00005489">
        <w:rPr>
          <w:rFonts w:ascii="Times New Roman" w:hAnsi="Times New Roman"/>
          <w:b/>
          <w:bCs/>
          <w:sz w:val="22"/>
          <w:szCs w:val="22"/>
          <w:lang w:val="en-GB"/>
        </w:rPr>
        <w:t>9</w:t>
      </w:r>
      <w:r w:rsidR="00DB5DA9" w:rsidRPr="00DB5DA9">
        <w:rPr>
          <w:rFonts w:ascii="Times New Roman" w:hAnsi="Times New Roman"/>
          <w:b/>
          <w:bCs/>
          <w:sz w:val="22"/>
          <w:szCs w:val="22"/>
          <w:vertAlign w:val="superscript"/>
          <w:lang w:val="en-GB"/>
        </w:rPr>
        <w:t>th</w:t>
      </w:r>
      <w:r w:rsidR="00667F83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a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f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t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er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 xml:space="preserve"> 1:</w:t>
      </w:r>
      <w:r w:rsidR="00005489">
        <w:rPr>
          <w:rFonts w:ascii="Times New Roman" w:hAnsi="Times New Roman"/>
          <w:b/>
          <w:bCs/>
          <w:sz w:val="22"/>
          <w:szCs w:val="22"/>
          <w:lang w:val="en-GB"/>
        </w:rPr>
        <w:t>3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0 p.m.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Available spaces will then be allocated on the basis of the wa</w:t>
      </w:r>
      <w:r w:rsidR="00426D04">
        <w:rPr>
          <w:rFonts w:ascii="Times New Roman" w:hAnsi="Times New Roman"/>
          <w:sz w:val="22"/>
          <w:szCs w:val="22"/>
          <w:lang w:val="en-GB"/>
        </w:rPr>
        <w:t xml:space="preserve">iting list. </w:t>
      </w:r>
    </w:p>
    <w:p w:rsidR="00426D04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426D04" w:rsidRPr="006B2FDE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All registration forms for non-PENT students require the signature of John Minshull, Director of PENT.</w:t>
      </w:r>
    </w:p>
    <w:p w:rsidR="00426D04" w:rsidRDefault="00426D04" w:rsidP="00426D0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tabs>
          <w:tab w:val="left" w:pos="-144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WP TypographicSymbols" w:hAnsi="WP TypographicSymbols"/>
          <w:sz w:val="22"/>
          <w:szCs w:val="22"/>
          <w:lang w:val="en-GB"/>
        </w:rPr>
      </w:pP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N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OTE: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If you have questions about your program of studies, we encourage you to see your "program advisor”.</w:t>
      </w:r>
    </w:p>
    <w:p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5040" w:type="dxa"/>
        <w:tblInd w:w="21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40"/>
      </w:tblGrid>
      <w:tr w:rsidR="003B5700" w:rsidRPr="00A11643" w:rsidTr="003B5700">
        <w:tc>
          <w:tcPr>
            <w:tcW w:w="50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B5700" w:rsidRPr="00A11643" w:rsidRDefault="003B5700">
            <w:pPr>
              <w:spacing w:line="120" w:lineRule="exact"/>
              <w:rPr>
                <w:rFonts w:ascii="Times New Roman" w:hAnsi="Times New Roman"/>
                <w:sz w:val="22"/>
                <w:lang w:val="en-GB"/>
              </w:rPr>
            </w:pPr>
          </w:p>
          <w:p w:rsidR="00D26A4C" w:rsidRDefault="003B5700">
            <w:pPr>
              <w:tabs>
                <w:tab w:val="left" w:pos="-1440"/>
                <w:tab w:val="left" w:pos="-720"/>
                <w:tab w:val="left" w:pos="0"/>
                <w:tab w:val="left" w:pos="31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A1164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COSTS FOR 3 cr. hr. COURSES</w:t>
            </w:r>
            <w:r w:rsidR="00D26A4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3B5700" w:rsidRPr="00A11643" w:rsidRDefault="00D26A4C">
            <w:pPr>
              <w:tabs>
                <w:tab w:val="left" w:pos="-1440"/>
                <w:tab w:val="left" w:pos="-720"/>
                <w:tab w:val="left" w:pos="0"/>
                <w:tab w:val="left" w:pos="312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(subject to change)</w:t>
            </w:r>
          </w:p>
          <w:p w:rsidR="003B5700" w:rsidRPr="00A24C3A" w:rsidRDefault="003B5700">
            <w:pPr>
              <w:tabs>
                <w:tab w:val="center" w:pos="240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rPr>
                <w:rFonts w:ascii="Times New Roman" w:hAnsi="Times New Roman"/>
                <w:sz w:val="22"/>
                <w:lang w:val="en-GB"/>
              </w:rPr>
            </w:pPr>
            <w:r w:rsidRPr="00A11643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Faculty of Arts - </w:t>
            </w:r>
            <w:r w:rsidRPr="006049E1">
              <w:rPr>
                <w:rFonts w:ascii="Times New Roman" w:hAnsi="Times New Roman"/>
                <w:sz w:val="22"/>
                <w:szCs w:val="22"/>
                <w:lang w:val="en-GB"/>
              </w:rPr>
              <w:t>$</w:t>
            </w:r>
            <w:r w:rsidR="009557FC">
              <w:rPr>
                <w:rFonts w:ascii="Times New Roman" w:hAnsi="Times New Roman"/>
                <w:sz w:val="22"/>
                <w:szCs w:val="22"/>
                <w:lang w:val="en-GB"/>
              </w:rPr>
              <w:t>605.49</w:t>
            </w:r>
          </w:p>
          <w:p w:rsidR="003B5700" w:rsidRPr="00A11643" w:rsidRDefault="003B5700">
            <w:pPr>
              <w:tabs>
                <w:tab w:val="center" w:pos="240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rPr>
                <w:rFonts w:ascii="Times New Roman" w:hAnsi="Times New Roman"/>
                <w:sz w:val="22"/>
                <w:lang w:val="en-GB"/>
              </w:rPr>
            </w:pPr>
            <w:r w:rsidRPr="00A11643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Faculty of Education </w:t>
            </w:r>
            <w:r w:rsidRPr="006049E1">
              <w:rPr>
                <w:rFonts w:ascii="Times New Roman" w:hAnsi="Times New Roman"/>
                <w:sz w:val="22"/>
                <w:szCs w:val="22"/>
                <w:lang w:val="en-GB"/>
              </w:rPr>
              <w:t>- $</w:t>
            </w:r>
            <w:r w:rsidR="009557FC">
              <w:rPr>
                <w:rFonts w:ascii="Times New Roman" w:hAnsi="Times New Roman"/>
                <w:sz w:val="22"/>
                <w:szCs w:val="22"/>
                <w:lang w:val="en-GB"/>
              </w:rPr>
              <w:t>612.39</w:t>
            </w:r>
          </w:p>
          <w:p w:rsidR="003B5700" w:rsidRPr="00A11643" w:rsidRDefault="003B5700">
            <w:pPr>
              <w:tabs>
                <w:tab w:val="center" w:pos="240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rPr>
                <w:rFonts w:ascii="Times New Roman" w:hAnsi="Times New Roman"/>
                <w:sz w:val="22"/>
                <w:lang w:val="en-GB"/>
              </w:rPr>
            </w:pPr>
            <w:r w:rsidRPr="00A11643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Faculty of Science - </w:t>
            </w:r>
            <w:r w:rsidRPr="006049E1">
              <w:rPr>
                <w:rFonts w:ascii="Times New Roman" w:hAnsi="Times New Roman"/>
                <w:sz w:val="22"/>
                <w:szCs w:val="22"/>
                <w:lang w:val="en-GB"/>
              </w:rPr>
              <w:t>$</w:t>
            </w:r>
            <w:r w:rsidR="009557FC">
              <w:rPr>
                <w:rFonts w:ascii="Times New Roman" w:hAnsi="Times New Roman"/>
                <w:sz w:val="22"/>
                <w:szCs w:val="22"/>
                <w:lang w:val="en-GB"/>
              </w:rPr>
              <w:t>638.79</w:t>
            </w:r>
          </w:p>
          <w:p w:rsidR="003B5700" w:rsidRPr="00A11643" w:rsidRDefault="003B5700">
            <w:pPr>
              <w:tabs>
                <w:tab w:val="center" w:pos="240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after="58"/>
              <w:rPr>
                <w:rFonts w:ascii="Times New Roman" w:hAnsi="Times New Roman"/>
                <w:sz w:val="22"/>
                <w:lang w:val="en-GB"/>
              </w:rPr>
            </w:pPr>
            <w:r w:rsidRPr="00A11643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A11643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plus student fees for each 3 credit hour course</w:t>
            </w:r>
          </w:p>
        </w:tc>
      </w:tr>
    </w:tbl>
    <w:p w:rsidR="003B5700" w:rsidRPr="00A11643" w:rsidRDefault="003B5700" w:rsidP="003B5700">
      <w:pPr>
        <w:tabs>
          <w:tab w:val="left" w:pos="-1560"/>
          <w:tab w:val="left" w:pos="-840"/>
          <w:tab w:val="left" w:pos="-12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                                 </w:t>
      </w:r>
    </w:p>
    <w:p w:rsidR="000E526D" w:rsidRDefault="000E526D"/>
    <w:sectPr w:rsidR="000E526D" w:rsidSect="00537682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00"/>
    <w:rsid w:val="00005489"/>
    <w:rsid w:val="00030E27"/>
    <w:rsid w:val="00087887"/>
    <w:rsid w:val="000E526D"/>
    <w:rsid w:val="0013621F"/>
    <w:rsid w:val="001C63D7"/>
    <w:rsid w:val="00257614"/>
    <w:rsid w:val="00370459"/>
    <w:rsid w:val="003B5700"/>
    <w:rsid w:val="003F1B4B"/>
    <w:rsid w:val="00426D04"/>
    <w:rsid w:val="00492D94"/>
    <w:rsid w:val="00537682"/>
    <w:rsid w:val="00596B85"/>
    <w:rsid w:val="006049E1"/>
    <w:rsid w:val="00667F83"/>
    <w:rsid w:val="00690171"/>
    <w:rsid w:val="006B2FDE"/>
    <w:rsid w:val="0072294E"/>
    <w:rsid w:val="00724BBB"/>
    <w:rsid w:val="007B3365"/>
    <w:rsid w:val="007C7976"/>
    <w:rsid w:val="00846D89"/>
    <w:rsid w:val="009557FC"/>
    <w:rsid w:val="0099510A"/>
    <w:rsid w:val="009D6CC6"/>
    <w:rsid w:val="00A11643"/>
    <w:rsid w:val="00A24C3A"/>
    <w:rsid w:val="00A274D7"/>
    <w:rsid w:val="00AE2949"/>
    <w:rsid w:val="00B203AC"/>
    <w:rsid w:val="00B2333C"/>
    <w:rsid w:val="00C5490D"/>
    <w:rsid w:val="00CD6490"/>
    <w:rsid w:val="00D26A4C"/>
    <w:rsid w:val="00D70666"/>
    <w:rsid w:val="00D77178"/>
    <w:rsid w:val="00DB2110"/>
    <w:rsid w:val="00DB5DA9"/>
    <w:rsid w:val="00DC2B84"/>
    <w:rsid w:val="00DD4700"/>
    <w:rsid w:val="00DF630F"/>
    <w:rsid w:val="00E235A2"/>
    <w:rsid w:val="00E30915"/>
    <w:rsid w:val="00F015D3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28DC"/>
  <w15:docId w15:val="{9ED8DF29-6AFE-4D83-A508-79D8D63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00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37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vinb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Faculty</dc:creator>
  <cp:lastModifiedBy>John Minshull</cp:lastModifiedBy>
  <cp:revision>5</cp:revision>
  <cp:lastPrinted>2016-02-08T22:23:00Z</cp:lastPrinted>
  <dcterms:created xsi:type="dcterms:W3CDTF">2021-02-16T16:14:00Z</dcterms:created>
  <dcterms:modified xsi:type="dcterms:W3CDTF">2021-02-17T19:11:00Z</dcterms:modified>
</cp:coreProperties>
</file>