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B" w:rsidRDefault="005D199B" w:rsidP="005D199B">
      <w:pPr>
        <w:pStyle w:val="Title"/>
        <w:ind w:left="360"/>
      </w:pPr>
      <w:r>
        <w:t>Annual Report</w:t>
      </w:r>
    </w:p>
    <w:p w:rsidR="005D199B" w:rsidRDefault="005D199B" w:rsidP="005D199B">
      <w:pPr>
        <w:pStyle w:val="Title"/>
        <w:ind w:left="360"/>
      </w:pPr>
      <w:r>
        <w:t>201</w:t>
      </w:r>
      <w:r w:rsidR="00AF68B7">
        <w:t>2</w:t>
      </w:r>
      <w:r>
        <w:t>-201</w:t>
      </w:r>
      <w:r w:rsidR="00AF68B7">
        <w:t>3</w:t>
      </w:r>
    </w:p>
    <w:p w:rsidR="005D199B" w:rsidRDefault="005D199B" w:rsidP="005D199B">
      <w:pPr>
        <w:pStyle w:val="Title"/>
        <w:ind w:left="360"/>
      </w:pPr>
      <w:r>
        <w:t>Status of Women Review Committee</w:t>
      </w:r>
      <w:r w:rsidR="004B06FC">
        <w:t xml:space="preserve"> (SWRC)</w:t>
      </w:r>
    </w:p>
    <w:p w:rsidR="005D199B" w:rsidRDefault="005D199B" w:rsidP="005D199B">
      <w:pPr>
        <w:pStyle w:val="Title"/>
        <w:ind w:left="360"/>
      </w:pPr>
      <w:r>
        <w:t>Brandon University</w:t>
      </w:r>
    </w:p>
    <w:p w:rsidR="005D199B" w:rsidRDefault="005D199B" w:rsidP="005D199B">
      <w:pPr>
        <w:pStyle w:val="Title"/>
        <w:ind w:left="360"/>
      </w:pPr>
    </w:p>
    <w:p w:rsidR="005D199B" w:rsidRDefault="005D199B" w:rsidP="005D199B">
      <w:pPr>
        <w:numPr>
          <w:ilvl w:val="0"/>
          <w:numId w:val="1"/>
        </w:numPr>
        <w:tabs>
          <w:tab w:val="clear" w:pos="720"/>
          <w:tab w:val="num" w:pos="0"/>
          <w:tab w:val="left" w:pos="360"/>
        </w:tabs>
        <w:ind w:left="360"/>
      </w:pPr>
      <w:r>
        <w:rPr>
          <w:b/>
        </w:rPr>
        <w:t>Committee members:</w:t>
      </w:r>
    </w:p>
    <w:p w:rsidR="005D199B" w:rsidRDefault="005D199B" w:rsidP="005D199B">
      <w:pPr>
        <w:tabs>
          <w:tab w:val="num" w:pos="851"/>
        </w:tabs>
        <w:ind w:left="426"/>
      </w:pPr>
      <w:r>
        <w:t xml:space="preserve">(a) </w:t>
      </w:r>
      <w:r>
        <w:tab/>
        <w:t>Bea Jolly</w:t>
      </w:r>
      <w:r>
        <w:tab/>
      </w:r>
      <w:r>
        <w:tab/>
      </w:r>
      <w:r>
        <w:tab/>
      </w:r>
      <w:r>
        <w:tab/>
        <w:t xml:space="preserve">Board of Governors </w:t>
      </w:r>
    </w:p>
    <w:p w:rsidR="005D199B" w:rsidRDefault="005D199B" w:rsidP="005D199B">
      <w:pPr>
        <w:tabs>
          <w:tab w:val="num" w:pos="851"/>
        </w:tabs>
        <w:ind w:left="426"/>
      </w:pPr>
      <w:r>
        <w:t xml:space="preserve">(b) </w:t>
      </w:r>
      <w:r>
        <w:tab/>
        <w:t>Vicki Klassen</w:t>
      </w:r>
      <w:r>
        <w:tab/>
      </w:r>
      <w:r>
        <w:tab/>
      </w:r>
      <w:r>
        <w:tab/>
        <w:t xml:space="preserve">Deans and Directors </w:t>
      </w:r>
    </w:p>
    <w:p w:rsidR="005D199B" w:rsidRDefault="005D199B" w:rsidP="005D199B">
      <w:pPr>
        <w:tabs>
          <w:tab w:val="num" w:pos="851"/>
        </w:tabs>
        <w:ind w:left="426"/>
      </w:pPr>
      <w:r>
        <w:t>(</w:t>
      </w:r>
      <w:proofErr w:type="gramStart"/>
      <w:r>
        <w:t>c</w:t>
      </w:r>
      <w:proofErr w:type="gramEnd"/>
      <w:r>
        <w:t>)   Dr. Allison McCulloch</w:t>
      </w:r>
      <w:r>
        <w:tab/>
      </w:r>
      <w:r>
        <w:tab/>
        <w:t>Arts</w:t>
      </w:r>
    </w:p>
    <w:p w:rsidR="005D199B" w:rsidRDefault="005D199B" w:rsidP="005D199B">
      <w:pPr>
        <w:tabs>
          <w:tab w:val="num" w:pos="851"/>
        </w:tabs>
        <w:ind w:left="426"/>
      </w:pPr>
      <w:r>
        <w:t xml:space="preserve">(d)  </w:t>
      </w:r>
      <w:r>
        <w:tab/>
        <w:t>Donna Forsyth</w:t>
      </w:r>
      <w:r>
        <w:tab/>
      </w:r>
      <w:r>
        <w:tab/>
      </w:r>
      <w:r>
        <w:tab/>
        <w:t xml:space="preserve">Education </w:t>
      </w:r>
    </w:p>
    <w:p w:rsidR="005D199B" w:rsidRPr="00EB6F81" w:rsidRDefault="005D199B" w:rsidP="005D199B">
      <w:pPr>
        <w:tabs>
          <w:tab w:val="num" w:pos="851"/>
        </w:tabs>
        <w:ind w:left="426"/>
        <w:rPr>
          <w:i/>
        </w:rPr>
      </w:pPr>
      <w:r>
        <w:t xml:space="preserve">(e) </w:t>
      </w:r>
      <w:r>
        <w:tab/>
      </w:r>
      <w:r w:rsidR="00AF68B7" w:rsidRPr="00CB75B0">
        <w:rPr>
          <w:i/>
          <w:color w:val="000000"/>
        </w:rPr>
        <w:t>Vacant</w:t>
      </w:r>
      <w:r w:rsidR="00AF68B7">
        <w:rPr>
          <w:color w:val="000000"/>
        </w:rPr>
        <w:tab/>
      </w:r>
      <w:r>
        <w:rPr>
          <w:color w:val="000000"/>
        </w:rPr>
        <w:tab/>
      </w:r>
      <w:r>
        <w:tab/>
      </w:r>
      <w:r>
        <w:tab/>
      </w:r>
      <w:r w:rsidRPr="008360DF">
        <w:t>Health Studies and FNAC</w:t>
      </w:r>
    </w:p>
    <w:p w:rsidR="005D199B" w:rsidRPr="00103F20" w:rsidRDefault="005D199B" w:rsidP="005D199B">
      <w:pPr>
        <w:tabs>
          <w:tab w:val="num" w:pos="851"/>
        </w:tabs>
        <w:ind w:left="426"/>
        <w:rPr>
          <w:i/>
        </w:rPr>
      </w:pPr>
      <w:r>
        <w:t xml:space="preserve">(f) </w:t>
      </w:r>
      <w:r>
        <w:tab/>
        <w:t xml:space="preserve">Dr. </w:t>
      </w:r>
      <w:r w:rsidR="00AF68B7">
        <w:t>Colette Simonot</w:t>
      </w:r>
      <w:r w:rsidR="00AF68B7">
        <w:tab/>
      </w:r>
      <w:r w:rsidRPr="00103F20">
        <w:rPr>
          <w:i/>
        </w:rPr>
        <w:tab/>
      </w:r>
      <w:r>
        <w:rPr>
          <w:i/>
        </w:rPr>
        <w:tab/>
      </w:r>
      <w:r w:rsidRPr="008360DF">
        <w:t xml:space="preserve">Music </w:t>
      </w:r>
    </w:p>
    <w:p w:rsidR="005D199B" w:rsidRDefault="00AF68B7" w:rsidP="005D199B">
      <w:pPr>
        <w:tabs>
          <w:tab w:val="num" w:pos="851"/>
        </w:tabs>
        <w:ind w:left="426"/>
      </w:pPr>
      <w:r>
        <w:t xml:space="preserve">(g)  </w:t>
      </w:r>
      <w:r>
        <w:tab/>
        <w:t>Alexis Braun</w:t>
      </w:r>
      <w:r>
        <w:tab/>
      </w:r>
      <w:r w:rsidR="005D199B">
        <w:tab/>
      </w:r>
      <w:r w:rsidR="005D199B">
        <w:tab/>
      </w:r>
      <w:r w:rsidR="005D199B">
        <w:tab/>
        <w:t>BUFA</w:t>
      </w:r>
    </w:p>
    <w:p w:rsidR="005D199B" w:rsidRPr="00DC18DD" w:rsidRDefault="005D199B" w:rsidP="005D199B">
      <w:pPr>
        <w:tabs>
          <w:tab w:val="num" w:pos="851"/>
        </w:tabs>
        <w:ind w:left="426"/>
        <w:rPr>
          <w:i/>
        </w:rPr>
      </w:pPr>
      <w:r>
        <w:t>(</w:t>
      </w:r>
      <w:proofErr w:type="spellStart"/>
      <w:r>
        <w:t>i</w:t>
      </w:r>
      <w:proofErr w:type="spellEnd"/>
      <w:r>
        <w:t xml:space="preserve">) </w:t>
      </w:r>
      <w:r>
        <w:tab/>
      </w:r>
      <w:r w:rsidRPr="008360DF">
        <w:t xml:space="preserve">Dr. </w:t>
      </w:r>
      <w:r>
        <w:t>Etsuko Yasui</w:t>
      </w:r>
      <w:r>
        <w:tab/>
      </w:r>
      <w:r>
        <w:tab/>
      </w:r>
      <w:r>
        <w:tab/>
        <w:t>Science</w:t>
      </w:r>
    </w:p>
    <w:p w:rsidR="005D199B" w:rsidRDefault="005D199B" w:rsidP="005D199B">
      <w:pPr>
        <w:tabs>
          <w:tab w:val="num" w:pos="851"/>
        </w:tabs>
        <w:ind w:left="426"/>
      </w:pPr>
      <w:r>
        <w:t xml:space="preserve">(j)   </w:t>
      </w:r>
      <w:r>
        <w:tab/>
        <w:t>Dr. Marion Terry</w:t>
      </w:r>
      <w:r>
        <w:tab/>
      </w:r>
      <w:r>
        <w:tab/>
      </w:r>
      <w:r>
        <w:tab/>
        <w:t xml:space="preserve">Invited </w:t>
      </w:r>
    </w:p>
    <w:p w:rsidR="005D199B" w:rsidRDefault="005D199B" w:rsidP="005D199B">
      <w:pPr>
        <w:tabs>
          <w:tab w:val="num" w:pos="851"/>
        </w:tabs>
        <w:ind w:left="426"/>
      </w:pPr>
      <w:r>
        <w:t xml:space="preserve">(l)   </w:t>
      </w:r>
      <w:r w:rsidR="00AF68B7">
        <w:t>Joan Garbutt</w:t>
      </w:r>
      <w:r>
        <w:tab/>
      </w:r>
      <w:r>
        <w:tab/>
      </w:r>
      <w:r>
        <w:tab/>
      </w:r>
      <w:r>
        <w:tab/>
        <w:t>Library/Student Services</w:t>
      </w:r>
    </w:p>
    <w:p w:rsidR="005D199B" w:rsidRDefault="005D199B" w:rsidP="005D199B">
      <w:pPr>
        <w:tabs>
          <w:tab w:val="num" w:pos="851"/>
        </w:tabs>
        <w:ind w:left="426"/>
        <w:rPr>
          <w:bCs/>
        </w:rPr>
      </w:pPr>
      <w:r>
        <w:t>(m)</w:t>
      </w:r>
      <w:r>
        <w:tab/>
        <w:t>Kathleen Nichol</w:t>
      </w:r>
      <w:r>
        <w:tab/>
      </w:r>
      <w:r>
        <w:tab/>
      </w:r>
      <w:r>
        <w:tab/>
        <w:t>Science</w:t>
      </w:r>
      <w:r w:rsidR="00673F1C">
        <w:t xml:space="preserve"> (Chair)</w:t>
      </w:r>
    </w:p>
    <w:p w:rsidR="00D5015B" w:rsidRDefault="00C57BF8" w:rsidP="005D199B">
      <w:pPr>
        <w:numPr>
          <w:ilvl w:val="0"/>
          <w:numId w:val="1"/>
        </w:numPr>
        <w:tabs>
          <w:tab w:val="clear" w:pos="720"/>
          <w:tab w:val="left" w:pos="360"/>
        </w:tabs>
        <w:ind w:left="360"/>
        <w:rPr>
          <w:color w:val="000000"/>
        </w:rPr>
      </w:pPr>
      <w:r w:rsidRPr="004B06FC">
        <w:rPr>
          <w:b/>
          <w:color w:val="000000"/>
        </w:rPr>
        <w:t>The mandate of the SWRC</w:t>
      </w:r>
      <w:r>
        <w:rPr>
          <w:color w:val="000000"/>
        </w:rPr>
        <w:t xml:space="preserve"> is </w:t>
      </w:r>
      <w:r w:rsidR="00D5015B">
        <w:rPr>
          <w:color w:val="000000"/>
        </w:rPr>
        <w:t>defined in Artic</w:t>
      </w:r>
      <w:r>
        <w:rPr>
          <w:color w:val="000000"/>
        </w:rPr>
        <w:t>le 30 of the CA.  The current SWRC has chosen to address this by promoting professional devel</w:t>
      </w:r>
      <w:r w:rsidR="00CB75B0">
        <w:rPr>
          <w:color w:val="000000"/>
        </w:rPr>
        <w:t>opment in teaching and research;</w:t>
      </w:r>
      <w:r>
        <w:rPr>
          <w:color w:val="000000"/>
        </w:rPr>
        <w:t xml:space="preserve"> by promoting a health</w:t>
      </w:r>
      <w:r w:rsidR="00CB75B0">
        <w:rPr>
          <w:color w:val="000000"/>
        </w:rPr>
        <w:t>y</w:t>
      </w:r>
      <w:r>
        <w:rPr>
          <w:color w:val="000000"/>
        </w:rPr>
        <w:t xml:space="preserve"> climate</w:t>
      </w:r>
      <w:r w:rsidR="004B06FC">
        <w:rPr>
          <w:color w:val="000000"/>
        </w:rPr>
        <w:t xml:space="preserve"> </w:t>
      </w:r>
      <w:r w:rsidR="00CB75B0">
        <w:rPr>
          <w:color w:val="000000"/>
        </w:rPr>
        <w:t>through mentoring and education;</w:t>
      </w:r>
      <w:r w:rsidR="004B06FC">
        <w:rPr>
          <w:color w:val="000000"/>
        </w:rPr>
        <w:t xml:space="preserve"> by collecting data on hires, and </w:t>
      </w:r>
      <w:r w:rsidR="00CB75B0">
        <w:rPr>
          <w:color w:val="000000"/>
        </w:rPr>
        <w:t xml:space="preserve">the </w:t>
      </w:r>
      <w:r w:rsidR="004B06FC">
        <w:rPr>
          <w:color w:val="000000"/>
        </w:rPr>
        <w:t>awarding of promotions, ten</w:t>
      </w:r>
      <w:r w:rsidR="00CB75B0">
        <w:rPr>
          <w:color w:val="000000"/>
        </w:rPr>
        <w:t>ure, leaves and research grants;</w:t>
      </w:r>
      <w:r w:rsidR="004B06FC">
        <w:rPr>
          <w:color w:val="000000"/>
        </w:rPr>
        <w:t xml:space="preserve"> and by gathering feedback from female faculty on their working conditions.</w:t>
      </w:r>
    </w:p>
    <w:p w:rsidR="005D199B" w:rsidRDefault="005D199B" w:rsidP="005D199B">
      <w:pPr>
        <w:numPr>
          <w:ilvl w:val="0"/>
          <w:numId w:val="1"/>
        </w:numPr>
        <w:tabs>
          <w:tab w:val="clear" w:pos="720"/>
          <w:tab w:val="left" w:pos="360"/>
        </w:tabs>
        <w:ind w:left="360"/>
        <w:rPr>
          <w:color w:val="000000"/>
        </w:rPr>
      </w:pPr>
      <w:r>
        <w:rPr>
          <w:b/>
          <w:color w:val="000000"/>
        </w:rPr>
        <w:t xml:space="preserve">The committee held </w:t>
      </w:r>
      <w:r w:rsidR="007D0BA6">
        <w:rPr>
          <w:b/>
          <w:color w:val="000000"/>
        </w:rPr>
        <w:t>ten</w:t>
      </w:r>
      <w:r w:rsidRPr="00092964">
        <w:rPr>
          <w:b/>
          <w:color w:val="000000"/>
        </w:rPr>
        <w:t xml:space="preserve"> meetings</w:t>
      </w:r>
      <w:r>
        <w:rPr>
          <w:color w:val="000000"/>
        </w:rPr>
        <w:t xml:space="preserve"> between June </w:t>
      </w:r>
      <w:r w:rsidR="008F1A18">
        <w:rPr>
          <w:color w:val="000000"/>
        </w:rPr>
        <w:t>1</w:t>
      </w:r>
      <w:r>
        <w:rPr>
          <w:color w:val="000000"/>
        </w:rPr>
        <w:t>3, 201</w:t>
      </w:r>
      <w:r w:rsidR="008F1A18">
        <w:rPr>
          <w:color w:val="000000"/>
        </w:rPr>
        <w:t>2</w:t>
      </w:r>
      <w:r>
        <w:rPr>
          <w:color w:val="000000"/>
        </w:rPr>
        <w:t xml:space="preserve"> and </w:t>
      </w:r>
      <w:r w:rsidR="008F1A18">
        <w:rPr>
          <w:color w:val="000000"/>
        </w:rPr>
        <w:t>April 11</w:t>
      </w:r>
      <w:r>
        <w:rPr>
          <w:color w:val="000000"/>
        </w:rPr>
        <w:t>, 201</w:t>
      </w:r>
      <w:r w:rsidR="008F1A18">
        <w:rPr>
          <w:color w:val="000000"/>
        </w:rPr>
        <w:t>3</w:t>
      </w:r>
      <w:r>
        <w:rPr>
          <w:color w:val="000000"/>
        </w:rPr>
        <w:t xml:space="preserve">.  The plan is for one more meeting </w:t>
      </w:r>
      <w:r w:rsidR="007D0BA6">
        <w:rPr>
          <w:color w:val="000000"/>
        </w:rPr>
        <w:t>before the end of June</w:t>
      </w:r>
      <w:r>
        <w:rPr>
          <w:color w:val="000000"/>
        </w:rPr>
        <w:t>.</w:t>
      </w:r>
    </w:p>
    <w:p w:rsidR="005D199B" w:rsidRPr="00CC5B53" w:rsidRDefault="005D199B" w:rsidP="005D199B">
      <w:pPr>
        <w:numPr>
          <w:ilvl w:val="0"/>
          <w:numId w:val="1"/>
        </w:numPr>
        <w:tabs>
          <w:tab w:val="clear" w:pos="720"/>
          <w:tab w:val="left" w:pos="360"/>
        </w:tabs>
        <w:ind w:left="360"/>
        <w:rPr>
          <w:color w:val="000000"/>
        </w:rPr>
      </w:pPr>
      <w:r>
        <w:rPr>
          <w:b/>
        </w:rPr>
        <w:t xml:space="preserve">Workshops and events organized: </w:t>
      </w:r>
      <w:r>
        <w:t xml:space="preserve"> </w:t>
      </w:r>
    </w:p>
    <w:p w:rsidR="00AD3A99" w:rsidRDefault="00AD3A99" w:rsidP="00CB75B0">
      <w:pPr>
        <w:pStyle w:val="ListParagraph"/>
        <w:numPr>
          <w:ilvl w:val="3"/>
          <w:numId w:val="1"/>
        </w:numPr>
        <w:tabs>
          <w:tab w:val="clear" w:pos="2880"/>
          <w:tab w:val="left" w:pos="360"/>
          <w:tab w:val="num" w:pos="720"/>
        </w:tabs>
        <w:ind w:left="720"/>
      </w:pPr>
      <w:r w:rsidRPr="00CB75B0">
        <w:rPr>
          <w:rFonts w:eastAsia="Calibri"/>
          <w:b/>
        </w:rPr>
        <w:t xml:space="preserve">Workshop on </w:t>
      </w:r>
      <w:proofErr w:type="gramStart"/>
      <w:r w:rsidRPr="00CB75B0">
        <w:rPr>
          <w:rFonts w:eastAsia="Calibri"/>
          <w:b/>
        </w:rPr>
        <w:t>Preparing</w:t>
      </w:r>
      <w:proofErr w:type="gramEnd"/>
      <w:r w:rsidRPr="00CB75B0">
        <w:rPr>
          <w:rFonts w:eastAsia="Calibri"/>
          <w:b/>
        </w:rPr>
        <w:t xml:space="preserve"> your Dossier for Promotion and Tenure, May 4</w:t>
      </w:r>
      <w:r w:rsidRPr="00CB75B0">
        <w:rPr>
          <w:rFonts w:eastAsia="Calibri"/>
          <w:b/>
          <w:vertAlign w:val="superscript"/>
        </w:rPr>
        <w:t>th</w:t>
      </w:r>
      <w:r w:rsidRPr="00CB75B0">
        <w:rPr>
          <w:b/>
          <w:vertAlign w:val="superscript"/>
        </w:rPr>
        <w:t xml:space="preserve">, </w:t>
      </w:r>
      <w:r w:rsidRPr="00CB75B0">
        <w:rPr>
          <w:b/>
        </w:rPr>
        <w:t>201</w:t>
      </w:r>
      <w:r w:rsidR="007C69F1">
        <w:rPr>
          <w:b/>
        </w:rPr>
        <w:t>2</w:t>
      </w:r>
      <w:r w:rsidRPr="00CB75B0">
        <w:rPr>
          <w:rFonts w:eastAsia="Calibri"/>
          <w:b/>
        </w:rPr>
        <w:t xml:space="preserve">:  </w:t>
      </w:r>
      <w:r w:rsidR="00E65D9C" w:rsidRPr="00E65D9C">
        <w:rPr>
          <w:rFonts w:eastAsia="Calibri"/>
        </w:rPr>
        <w:t>Nine recent recipients of tenure, promotion or reclassification spoke on how they approached the process</w:t>
      </w:r>
      <w:r w:rsidR="00710E2F">
        <w:rPr>
          <w:rFonts w:eastAsia="Calibri"/>
        </w:rPr>
        <w:t>es</w:t>
      </w:r>
      <w:r w:rsidR="00E65D9C" w:rsidRPr="00E65D9C">
        <w:rPr>
          <w:rFonts w:eastAsia="Calibri"/>
        </w:rPr>
        <w:t>, what they included in their dossiers, and how they organized their dossiers</w:t>
      </w:r>
      <w:r w:rsidR="00710E2F">
        <w:rPr>
          <w:rFonts w:eastAsia="Calibri"/>
        </w:rPr>
        <w:t>, answering questions as they arose</w:t>
      </w:r>
      <w:r w:rsidR="00E65D9C" w:rsidRPr="00E65D9C">
        <w:rPr>
          <w:rFonts w:eastAsia="Calibri"/>
        </w:rPr>
        <w:t xml:space="preserve">.  Then </w:t>
      </w:r>
      <w:r w:rsidR="00710E2F">
        <w:rPr>
          <w:rFonts w:eastAsia="Calibri"/>
        </w:rPr>
        <w:t>participants</w:t>
      </w:r>
      <w:r w:rsidR="00E65D9C" w:rsidRPr="00E65D9C">
        <w:rPr>
          <w:rFonts w:eastAsia="Calibri"/>
        </w:rPr>
        <w:t xml:space="preserve"> had the opportunity to view </w:t>
      </w:r>
      <w:r w:rsidR="00710E2F">
        <w:rPr>
          <w:rFonts w:eastAsia="Calibri"/>
        </w:rPr>
        <w:t>ten</w:t>
      </w:r>
      <w:r w:rsidR="00E65D9C" w:rsidRPr="00E65D9C">
        <w:rPr>
          <w:rFonts w:eastAsia="Calibri"/>
        </w:rPr>
        <w:t xml:space="preserve"> successful dossiers </w:t>
      </w:r>
      <w:r w:rsidR="00710E2F">
        <w:rPr>
          <w:rFonts w:eastAsia="Calibri"/>
        </w:rPr>
        <w:t xml:space="preserve">(of the presenters and another of one who could not be there in person) </w:t>
      </w:r>
      <w:r w:rsidR="00E65D9C" w:rsidRPr="00E65D9C">
        <w:rPr>
          <w:rFonts w:eastAsia="Calibri"/>
        </w:rPr>
        <w:t xml:space="preserve">and </w:t>
      </w:r>
      <w:r w:rsidR="00E65D9C">
        <w:rPr>
          <w:rFonts w:eastAsia="Calibri"/>
        </w:rPr>
        <w:t xml:space="preserve">to </w:t>
      </w:r>
      <w:r w:rsidR="00E65D9C" w:rsidRPr="00E65D9C">
        <w:rPr>
          <w:rFonts w:eastAsia="Calibri"/>
        </w:rPr>
        <w:t xml:space="preserve">ask </w:t>
      </w:r>
      <w:r w:rsidR="00710E2F">
        <w:rPr>
          <w:rFonts w:eastAsia="Calibri"/>
        </w:rPr>
        <w:t xml:space="preserve">more </w:t>
      </w:r>
      <w:r w:rsidR="00E65D9C" w:rsidRPr="00E65D9C">
        <w:rPr>
          <w:rFonts w:eastAsia="Calibri"/>
        </w:rPr>
        <w:t>questions.</w:t>
      </w:r>
      <w:r w:rsidR="00E65D9C">
        <w:rPr>
          <w:rFonts w:eastAsia="Calibri"/>
          <w:b/>
        </w:rPr>
        <w:t xml:space="preserve">  </w:t>
      </w:r>
      <w:r w:rsidR="00CB75B0" w:rsidRPr="00CB75B0">
        <w:rPr>
          <w:rFonts w:eastAsia="Calibri"/>
        </w:rPr>
        <w:t>T</w:t>
      </w:r>
      <w:r w:rsidRPr="00CB75B0">
        <w:rPr>
          <w:rFonts w:eastAsia="Calibri"/>
        </w:rPr>
        <w:t xml:space="preserve">en faculty members attended and four who couldn’t attend were forwarded notes of the presentations.  Feedback was positive.  </w:t>
      </w:r>
      <w:r w:rsidR="00CB75B0">
        <w:rPr>
          <w:rFonts w:eastAsia="Calibri"/>
        </w:rPr>
        <w:t>SW provided refreshments.</w:t>
      </w:r>
    </w:p>
    <w:p w:rsidR="00AC2622" w:rsidRDefault="00AC2622" w:rsidP="00AC2622">
      <w:pPr>
        <w:pStyle w:val="ListParagraph"/>
        <w:numPr>
          <w:ilvl w:val="3"/>
          <w:numId w:val="1"/>
        </w:numPr>
        <w:tabs>
          <w:tab w:val="clear" w:pos="2880"/>
          <w:tab w:val="left" w:pos="360"/>
          <w:tab w:val="num" w:pos="720"/>
        </w:tabs>
        <w:ind w:left="720"/>
      </w:pPr>
      <w:r>
        <w:rPr>
          <w:rFonts w:eastAsia="Calibri"/>
          <w:b/>
        </w:rPr>
        <w:t xml:space="preserve">New Faculty Orientation, August 29, 2012:  </w:t>
      </w:r>
      <w:r w:rsidRPr="00AC2622">
        <w:rPr>
          <w:rFonts w:eastAsia="Calibri"/>
        </w:rPr>
        <w:t xml:space="preserve">Human Resources invited us to organize a session for new faculty (BUFA members) in conjunction with the New Employee Orientation.  The NEO ran until </w:t>
      </w:r>
      <w:r w:rsidR="008B1712">
        <w:rPr>
          <w:rFonts w:eastAsia="Calibri"/>
        </w:rPr>
        <w:t xml:space="preserve">about </w:t>
      </w:r>
      <w:r w:rsidRPr="00AC2622">
        <w:rPr>
          <w:rFonts w:eastAsia="Calibri"/>
        </w:rPr>
        <w:t>3 p.m. so the BUFA session was organized to follow this.</w:t>
      </w:r>
      <w:r>
        <w:rPr>
          <w:rFonts w:eastAsia="Calibri"/>
          <w:b/>
        </w:rPr>
        <w:t xml:space="preserve">   </w:t>
      </w:r>
      <w:r w:rsidR="008B1712" w:rsidRPr="008B1712">
        <w:rPr>
          <w:rFonts w:eastAsia="Calibri"/>
        </w:rPr>
        <w:t xml:space="preserve">Dr. </w:t>
      </w:r>
      <w:r>
        <w:rPr>
          <w:rFonts w:eastAsia="Calibri"/>
        </w:rPr>
        <w:t xml:space="preserve">Todd Fugleberg, the BUFA president, and twelve other </w:t>
      </w:r>
      <w:r w:rsidR="008B1712">
        <w:rPr>
          <w:rFonts w:eastAsia="Calibri"/>
        </w:rPr>
        <w:t xml:space="preserve">BUFA members and </w:t>
      </w:r>
      <w:r>
        <w:rPr>
          <w:rFonts w:eastAsia="Calibri"/>
        </w:rPr>
        <w:t>s</w:t>
      </w:r>
      <w:r w:rsidR="008B1712">
        <w:rPr>
          <w:rFonts w:eastAsia="Calibri"/>
        </w:rPr>
        <w:t xml:space="preserve">taff from across campus, who </w:t>
      </w:r>
      <w:r>
        <w:rPr>
          <w:rFonts w:eastAsia="Calibri"/>
        </w:rPr>
        <w:t>help new faculty in their roles as teachers and researchers</w:t>
      </w:r>
      <w:r w:rsidR="008B1712">
        <w:rPr>
          <w:rFonts w:eastAsia="Calibri"/>
        </w:rPr>
        <w:t>,</w:t>
      </w:r>
      <w:r>
        <w:rPr>
          <w:rFonts w:eastAsia="Calibri"/>
        </w:rPr>
        <w:t xml:space="preserve"> presented.  </w:t>
      </w:r>
      <w:r w:rsidR="008B1712">
        <w:rPr>
          <w:rFonts w:eastAsia="Calibri"/>
        </w:rPr>
        <w:t xml:space="preserve">Todd explained the rights and responsibilities of BUFA members, according to the Collective Agreement.  </w:t>
      </w:r>
      <w:r>
        <w:rPr>
          <w:rFonts w:eastAsia="Calibri"/>
        </w:rPr>
        <w:t>The</w:t>
      </w:r>
      <w:r w:rsidR="008B1712">
        <w:rPr>
          <w:rFonts w:eastAsia="Calibri"/>
        </w:rPr>
        <w:t>n others from the Bookstore, Library, HelpDesk, Finance and Registration, Student Services, and the SWRC briefly explained what help they provide to faculty – as teachers and as researchers, responding to questions as they arose.</w:t>
      </w:r>
      <w:r>
        <w:rPr>
          <w:rFonts w:eastAsia="Calibri"/>
        </w:rPr>
        <w:t xml:space="preserve">  Nine new </w:t>
      </w:r>
      <w:proofErr w:type="gramStart"/>
      <w:r>
        <w:rPr>
          <w:rFonts w:eastAsia="Calibri"/>
        </w:rPr>
        <w:t>faculty</w:t>
      </w:r>
      <w:proofErr w:type="gramEnd"/>
      <w:r>
        <w:rPr>
          <w:rFonts w:eastAsia="Calibri"/>
        </w:rPr>
        <w:t xml:space="preserve"> at</w:t>
      </w:r>
      <w:r w:rsidR="00673F1C">
        <w:rPr>
          <w:rFonts w:eastAsia="Calibri"/>
        </w:rPr>
        <w:t>tended and notes were sent to ten</w:t>
      </w:r>
      <w:r>
        <w:rPr>
          <w:rFonts w:eastAsia="Calibri"/>
        </w:rPr>
        <w:t xml:space="preserve"> others.  Many were sessional instructors.  Feedback was </w:t>
      </w:r>
      <w:r w:rsidR="008B1712">
        <w:rPr>
          <w:rFonts w:eastAsia="Calibri"/>
        </w:rPr>
        <w:t>positive</w:t>
      </w:r>
      <w:r>
        <w:rPr>
          <w:rFonts w:eastAsia="Calibri"/>
        </w:rPr>
        <w:t xml:space="preserve">.  </w:t>
      </w:r>
      <w:r w:rsidR="00673F1C">
        <w:rPr>
          <w:rFonts w:eastAsia="Calibri"/>
        </w:rPr>
        <w:t>One attendee had expressed some frustration at not being invited to the NEO because hired before April of 2012. HR plans to offer more frequent NEO’s in future.</w:t>
      </w:r>
      <w:r>
        <w:rPr>
          <w:rFonts w:eastAsia="Calibri"/>
        </w:rPr>
        <w:t xml:space="preserve"> SW provided refreshments.</w:t>
      </w:r>
    </w:p>
    <w:p w:rsidR="00710E2F" w:rsidRDefault="00AC2622" w:rsidP="00710E2F">
      <w:pPr>
        <w:ind w:left="720" w:hanging="360"/>
      </w:pPr>
      <w:r>
        <w:rPr>
          <w:rFonts w:eastAsia="Calibri"/>
          <w:b/>
        </w:rPr>
        <w:lastRenderedPageBreak/>
        <w:t>(c)</w:t>
      </w:r>
      <w:r>
        <w:rPr>
          <w:rFonts w:eastAsia="Calibri"/>
          <w:b/>
        </w:rPr>
        <w:tab/>
      </w:r>
      <w:r w:rsidR="00710E2F" w:rsidRPr="00710E2F">
        <w:rPr>
          <w:rFonts w:eastAsia="Calibri"/>
          <w:b/>
        </w:rPr>
        <w:t xml:space="preserve">Workshop on </w:t>
      </w:r>
      <w:r w:rsidR="00710E2F" w:rsidRPr="00B2222B">
        <w:rPr>
          <w:rFonts w:eastAsia="Calibri"/>
          <w:b/>
        </w:rPr>
        <w:t>Applying for Tenure</w:t>
      </w:r>
      <w:r w:rsidR="00710E2F">
        <w:rPr>
          <w:rFonts w:eastAsia="Calibri"/>
          <w:b/>
        </w:rPr>
        <w:t>, Promotion and Reclassification, September 14</w:t>
      </w:r>
      <w:r w:rsidR="00710E2F" w:rsidRPr="005129EE">
        <w:rPr>
          <w:rFonts w:eastAsia="Calibri"/>
          <w:b/>
          <w:vertAlign w:val="superscript"/>
        </w:rPr>
        <w:t>th</w:t>
      </w:r>
      <w:r w:rsidR="00710E2F">
        <w:rPr>
          <w:rFonts w:eastAsia="Calibri"/>
          <w:b/>
        </w:rPr>
        <w:t>,</w:t>
      </w:r>
      <w:r w:rsidR="00710E2F" w:rsidRPr="001D222F">
        <w:t xml:space="preserve"> </w:t>
      </w:r>
      <w:r w:rsidR="00710E2F" w:rsidRPr="00710E2F">
        <w:rPr>
          <w:b/>
        </w:rPr>
        <w:t xml:space="preserve">2012:  </w:t>
      </w:r>
      <w:r w:rsidR="00710E2F">
        <w:rPr>
          <w:rFonts w:eastAsia="Calibri"/>
        </w:rPr>
        <w:t xml:space="preserve">There were three presenters (Todd Fugleberg </w:t>
      </w:r>
      <w:r>
        <w:rPr>
          <w:rFonts w:eastAsia="Calibri"/>
        </w:rPr>
        <w:t>as President of</w:t>
      </w:r>
      <w:r w:rsidR="00710E2F">
        <w:rPr>
          <w:rFonts w:eastAsia="Calibri"/>
        </w:rPr>
        <w:t xml:space="preserve"> BUFA, Dr. Jeff Williams as most recent chair of the University Promotions Committee and Dr. Patrick </w:t>
      </w:r>
      <w:proofErr w:type="spellStart"/>
      <w:r w:rsidR="00710E2F">
        <w:rPr>
          <w:rFonts w:eastAsia="Calibri"/>
        </w:rPr>
        <w:t>Carrabré</w:t>
      </w:r>
      <w:proofErr w:type="spellEnd"/>
      <w:r w:rsidR="00710E2F">
        <w:rPr>
          <w:rFonts w:eastAsia="Calibri"/>
        </w:rPr>
        <w:t xml:space="preserve">, </w:t>
      </w:r>
      <w:r>
        <w:rPr>
          <w:rFonts w:eastAsia="Calibri"/>
        </w:rPr>
        <w:t xml:space="preserve">as </w:t>
      </w:r>
      <w:r w:rsidR="00710E2F">
        <w:rPr>
          <w:rFonts w:eastAsia="Calibri"/>
        </w:rPr>
        <w:t>most recent chair of the University Tenure Committee) as well as ten recent recipients of tenure, promotion or reclassification.  The three presenters spoke, from their experience, of what is necessary to achieve tenure, promotion or to be reclassified, according to the Collective Agreement.  They explained how each process works</w:t>
      </w:r>
      <w:r>
        <w:rPr>
          <w:rFonts w:eastAsia="Calibri"/>
        </w:rPr>
        <w:t xml:space="preserve"> and how their Committees operated.  In the process, they outlined what is necessary for each application and how best to present it (how to organize one’s dossier) so the Committees can make fair decisions with maximum input and minimum frustration.</w:t>
      </w:r>
      <w:r w:rsidR="00710E2F">
        <w:rPr>
          <w:rFonts w:eastAsia="Calibri"/>
        </w:rPr>
        <w:t xml:space="preserve"> </w:t>
      </w:r>
      <w:r>
        <w:rPr>
          <w:rFonts w:eastAsia="Calibri"/>
        </w:rPr>
        <w:t>Then participants broke into faculty groups and the BUFA designations of PA’s and of IA’s/AA’s to hear tips from recent recipients and to view their dossiers.</w:t>
      </w:r>
      <w:r w:rsidR="00710E2F">
        <w:rPr>
          <w:rFonts w:eastAsia="Calibri"/>
        </w:rPr>
        <w:t xml:space="preserve">  Sixteen potential applicants attended and one who couldn’t attend w</w:t>
      </w:r>
      <w:r>
        <w:rPr>
          <w:rFonts w:eastAsia="Calibri"/>
        </w:rPr>
        <w:t>as</w:t>
      </w:r>
      <w:r w:rsidR="00710E2F">
        <w:rPr>
          <w:rFonts w:eastAsia="Calibri"/>
        </w:rPr>
        <w:t xml:space="preserve"> sent the notes taken during the session.  The participants were from all faculties and from IA’s.  </w:t>
      </w:r>
      <w:r>
        <w:rPr>
          <w:rFonts w:eastAsia="Calibri"/>
        </w:rPr>
        <w:t>SW provided refreshments.</w:t>
      </w:r>
    </w:p>
    <w:p w:rsidR="00CB75B0" w:rsidRDefault="00673F1C" w:rsidP="00CB75B0">
      <w:pPr>
        <w:tabs>
          <w:tab w:val="left" w:pos="720"/>
        </w:tabs>
        <w:ind w:left="720" w:hanging="360"/>
        <w:rPr>
          <w:rFonts w:eastAsia="Calibri"/>
        </w:rPr>
      </w:pPr>
      <w:r>
        <w:rPr>
          <w:rFonts w:eastAsia="Calibri"/>
          <w:b/>
        </w:rPr>
        <w:t>(d)</w:t>
      </w:r>
      <w:r>
        <w:rPr>
          <w:rFonts w:eastAsia="Calibri"/>
          <w:b/>
        </w:rPr>
        <w:tab/>
      </w:r>
      <w:r w:rsidR="00CB75B0" w:rsidRPr="00CB75B0">
        <w:rPr>
          <w:rFonts w:eastAsia="Calibri"/>
          <w:b/>
        </w:rPr>
        <w:t xml:space="preserve">Women’s Research Network (WRN) Wine and cheese welcome, with Speed Mentoring, October </w:t>
      </w:r>
      <w:r w:rsidR="00CB75B0" w:rsidRPr="00CB75B0">
        <w:rPr>
          <w:b/>
        </w:rPr>
        <w:t>11</w:t>
      </w:r>
      <w:r w:rsidR="00CB75B0" w:rsidRPr="00CB75B0">
        <w:rPr>
          <w:rFonts w:eastAsia="Calibri"/>
          <w:b/>
        </w:rPr>
        <w:t xml:space="preserve">, 2012: </w:t>
      </w:r>
      <w:r w:rsidR="00CB75B0">
        <w:rPr>
          <w:rFonts w:eastAsia="Calibri"/>
          <w:b/>
        </w:rPr>
        <w:t xml:space="preserve"> </w:t>
      </w:r>
      <w:r w:rsidR="00CB75B0">
        <w:rPr>
          <w:rFonts w:eastAsia="Calibri"/>
        </w:rPr>
        <w:t xml:space="preserve">New and returning female faculty had a chance to network with four research mentors.  This event was not well attended – this suggests it should not be offered again, at least in its present format and time. </w:t>
      </w:r>
      <w:r w:rsidR="00710E2F">
        <w:rPr>
          <w:rFonts w:eastAsia="Calibri"/>
        </w:rPr>
        <w:t xml:space="preserve">However, those who attended found it worthwhile.  </w:t>
      </w:r>
      <w:r w:rsidR="00CB75B0">
        <w:rPr>
          <w:rFonts w:eastAsia="Calibri"/>
        </w:rPr>
        <w:t>SW provided refreshments.</w:t>
      </w:r>
      <w:r w:rsidR="00CB75B0">
        <w:rPr>
          <w:rFonts w:eastAsia="Calibri"/>
        </w:rPr>
        <w:tab/>
        <w:t xml:space="preserve"> </w:t>
      </w:r>
    </w:p>
    <w:p w:rsidR="00AD3A99" w:rsidRDefault="00673F1C" w:rsidP="00E65D9C">
      <w:pPr>
        <w:tabs>
          <w:tab w:val="left" w:pos="1080"/>
        </w:tabs>
        <w:ind w:left="720" w:hanging="360"/>
        <w:rPr>
          <w:rFonts w:eastAsia="Calibri"/>
        </w:rPr>
      </w:pPr>
      <w:r>
        <w:rPr>
          <w:rFonts w:eastAsia="Calibri"/>
          <w:b/>
        </w:rPr>
        <w:t>(e</w:t>
      </w:r>
      <w:r w:rsidR="00CB75B0" w:rsidRPr="00CB75B0">
        <w:rPr>
          <w:rFonts w:eastAsia="Calibri"/>
          <w:b/>
        </w:rPr>
        <w:t>)</w:t>
      </w:r>
      <w:r w:rsidR="00CB75B0" w:rsidRPr="00CB75B0">
        <w:rPr>
          <w:rFonts w:eastAsia="Calibri"/>
          <w:b/>
        </w:rPr>
        <w:tab/>
      </w:r>
      <w:r w:rsidR="00CB75B0">
        <w:rPr>
          <w:rFonts w:eastAsia="Calibri"/>
          <w:b/>
        </w:rPr>
        <w:t xml:space="preserve">WRN brown-bag lunch </w:t>
      </w:r>
      <w:r w:rsidR="00AD3A99" w:rsidRPr="00CB75B0">
        <w:rPr>
          <w:rFonts w:eastAsia="Calibri"/>
          <w:b/>
        </w:rPr>
        <w:t>“Getting Published”, November 13</w:t>
      </w:r>
      <w:r w:rsidR="00E65D9C">
        <w:rPr>
          <w:rFonts w:eastAsia="Calibri"/>
          <w:b/>
        </w:rPr>
        <w:t>, 2012</w:t>
      </w:r>
      <w:r w:rsidR="00CB75B0">
        <w:rPr>
          <w:rFonts w:eastAsia="Calibri"/>
          <w:b/>
        </w:rPr>
        <w:t>:</w:t>
      </w:r>
      <w:r w:rsidR="00AD3A99">
        <w:rPr>
          <w:rFonts w:eastAsia="Calibri"/>
        </w:rPr>
        <w:t xml:space="preserve">  Dr. Meg Carrington </w:t>
      </w:r>
      <w:r w:rsidR="00CB75B0">
        <w:rPr>
          <w:rFonts w:eastAsia="Calibri"/>
        </w:rPr>
        <w:t xml:space="preserve">and Dr. </w:t>
      </w:r>
      <w:r w:rsidR="00CB75B0">
        <w:t>Sheila Scott</w:t>
      </w:r>
      <w:r w:rsidR="00CB75B0">
        <w:rPr>
          <w:rFonts w:eastAsia="Calibri"/>
        </w:rPr>
        <w:t xml:space="preserve"> spoke, </w:t>
      </w:r>
      <w:r w:rsidR="00E65D9C">
        <w:rPr>
          <w:rFonts w:eastAsia="Calibri"/>
        </w:rPr>
        <w:t xml:space="preserve">both </w:t>
      </w:r>
      <w:r w:rsidR="00CB75B0">
        <w:rPr>
          <w:rFonts w:eastAsia="Calibri"/>
        </w:rPr>
        <w:t xml:space="preserve">as </w:t>
      </w:r>
      <w:r w:rsidR="00E65D9C">
        <w:rPr>
          <w:rFonts w:eastAsia="Calibri"/>
        </w:rPr>
        <w:t xml:space="preserve">researchers and as </w:t>
      </w:r>
      <w:r w:rsidR="00CB75B0">
        <w:rPr>
          <w:rFonts w:eastAsia="Calibri"/>
        </w:rPr>
        <w:t>reviewers</w:t>
      </w:r>
      <w:r w:rsidR="00E65D9C">
        <w:rPr>
          <w:rFonts w:eastAsia="Calibri"/>
        </w:rPr>
        <w:t xml:space="preserve"> for journals in their fields, offering their top five tips </w:t>
      </w:r>
      <w:r w:rsidR="00E65D9C" w:rsidRPr="00E65D9C">
        <w:t xml:space="preserve">on how to get published.  Then participants shared their tips </w:t>
      </w:r>
      <w:r w:rsidR="00E65D9C">
        <w:t xml:space="preserve">and </w:t>
      </w:r>
      <w:r w:rsidR="00710E2F">
        <w:t xml:space="preserve">asked </w:t>
      </w:r>
      <w:r w:rsidR="00E65D9C" w:rsidRPr="00E65D9C">
        <w:t>questions and</w:t>
      </w:r>
      <w:r w:rsidR="00710E2F">
        <w:t xml:space="preserve"> discussed</w:t>
      </w:r>
      <w:r w:rsidR="00E65D9C" w:rsidRPr="00E65D9C">
        <w:t>.</w:t>
      </w:r>
      <w:r w:rsidR="00E65D9C">
        <w:t xml:space="preserve"> </w:t>
      </w:r>
      <w:r w:rsidR="00E65D9C">
        <w:rPr>
          <w:rFonts w:eastAsia="Calibri"/>
        </w:rPr>
        <w:t xml:space="preserve"> Ten attended the event and one more was forwarded notes of the session.  SW provided refreshments.</w:t>
      </w:r>
    </w:p>
    <w:p w:rsidR="00673F1C" w:rsidRPr="001D222F" w:rsidRDefault="00673F1C" w:rsidP="00673F1C">
      <w:pPr>
        <w:ind w:left="720" w:hanging="360"/>
      </w:pPr>
      <w:r>
        <w:rPr>
          <w:rFonts w:eastAsia="Calibri"/>
          <w:b/>
        </w:rPr>
        <w:t>(f</w:t>
      </w:r>
      <w:r w:rsidR="00E65D9C">
        <w:rPr>
          <w:rFonts w:eastAsia="Calibri"/>
          <w:b/>
        </w:rPr>
        <w:t>)</w:t>
      </w:r>
      <w:r w:rsidR="00E65D9C">
        <w:rPr>
          <w:rFonts w:eastAsia="Calibri"/>
          <w:b/>
        </w:rPr>
        <w:tab/>
      </w:r>
      <w:r>
        <w:rPr>
          <w:rFonts w:eastAsia="Calibri"/>
          <w:b/>
        </w:rPr>
        <w:t xml:space="preserve">New Faculty Orientation, January 30, 2013: </w:t>
      </w:r>
      <w:r w:rsidRPr="00673F1C">
        <w:rPr>
          <w:rFonts w:eastAsia="Calibri"/>
        </w:rPr>
        <w:t>T</w:t>
      </w:r>
      <w:r>
        <w:rPr>
          <w:rFonts w:eastAsia="Calibri"/>
        </w:rPr>
        <w:t xml:space="preserve">hree new faculty members were invited to a brief meeting with Todd Fugleberg, President of BUFA, and Kathleen Nichol.  Two were able to attend and the third was sent notes from the session.  The participants appreciated having a chance to meet and hear about their rights and responsibilities as BUFA members and to share their experiences, so far.   </w:t>
      </w:r>
      <w:r>
        <w:rPr>
          <w:rFonts w:eastAsia="Calibri"/>
          <w:b/>
        </w:rPr>
        <w:t xml:space="preserve"> </w:t>
      </w:r>
    </w:p>
    <w:p w:rsidR="007A3867" w:rsidRDefault="00673F1C" w:rsidP="007A3867">
      <w:pPr>
        <w:tabs>
          <w:tab w:val="left" w:pos="720"/>
        </w:tabs>
        <w:ind w:left="720" w:hanging="360"/>
        <w:rPr>
          <w:bCs/>
        </w:rPr>
      </w:pPr>
      <w:r>
        <w:rPr>
          <w:rFonts w:eastAsia="Calibri"/>
          <w:b/>
        </w:rPr>
        <w:t>(g)</w:t>
      </w:r>
      <w:r>
        <w:rPr>
          <w:rFonts w:eastAsia="Calibri"/>
          <w:b/>
        </w:rPr>
        <w:tab/>
      </w:r>
      <w:r w:rsidR="007A3867">
        <w:rPr>
          <w:b/>
          <w:bCs/>
        </w:rPr>
        <w:t xml:space="preserve">International Women’s Day </w:t>
      </w:r>
      <w:r w:rsidR="00795810">
        <w:rPr>
          <w:b/>
          <w:bCs/>
        </w:rPr>
        <w:t>celebration</w:t>
      </w:r>
      <w:r w:rsidR="007A3867">
        <w:rPr>
          <w:b/>
          <w:bCs/>
        </w:rPr>
        <w:t>, March 4</w:t>
      </w:r>
      <w:r w:rsidR="007A3867" w:rsidRPr="007A3867">
        <w:rPr>
          <w:b/>
          <w:bCs/>
          <w:vertAlign w:val="superscript"/>
        </w:rPr>
        <w:t>th</w:t>
      </w:r>
      <w:r w:rsidR="007A3867">
        <w:rPr>
          <w:b/>
          <w:bCs/>
        </w:rPr>
        <w:t xml:space="preserve"> to 8</w:t>
      </w:r>
      <w:r w:rsidR="007A3867" w:rsidRPr="007A3867">
        <w:rPr>
          <w:b/>
          <w:bCs/>
          <w:vertAlign w:val="superscript"/>
        </w:rPr>
        <w:t>th</w:t>
      </w:r>
      <w:r w:rsidR="007A3867">
        <w:rPr>
          <w:b/>
          <w:bCs/>
        </w:rPr>
        <w:t>, 2013</w:t>
      </w:r>
      <w:r w:rsidR="00AD3A99" w:rsidRPr="00FE0B78">
        <w:rPr>
          <w:b/>
          <w:bCs/>
        </w:rPr>
        <w:t xml:space="preserve">:  </w:t>
      </w:r>
      <w:r w:rsidR="00795810">
        <w:rPr>
          <w:bCs/>
        </w:rPr>
        <w:t xml:space="preserve">As in the past ten years, SW chose to celebrate IWD by featuring exceptional female students on the BU website.  Fifty-one students were nominated by one of </w:t>
      </w:r>
      <w:r w:rsidR="007A3867">
        <w:rPr>
          <w:bCs/>
        </w:rPr>
        <w:t>their professors or supervisors</w:t>
      </w:r>
      <w:r w:rsidR="00795810">
        <w:rPr>
          <w:bCs/>
        </w:rPr>
        <w:t xml:space="preserve">.  </w:t>
      </w:r>
      <w:r w:rsidR="007A3867">
        <w:rPr>
          <w:bCs/>
        </w:rPr>
        <w:t xml:space="preserve">The students are representatives from Science, Arts, Education, Health Studies, Music, Physical Education, and the Portage Community Based Education program.  </w:t>
      </w:r>
      <w:r w:rsidR="00795810">
        <w:rPr>
          <w:bCs/>
        </w:rPr>
        <w:t xml:space="preserve">This was an amazing response.  Because we didn’t feel we could </w:t>
      </w:r>
      <w:proofErr w:type="spellStart"/>
      <w:r w:rsidR="00795810">
        <w:rPr>
          <w:bCs/>
        </w:rPr>
        <w:t>honour</w:t>
      </w:r>
      <w:proofErr w:type="spellEnd"/>
      <w:r w:rsidR="00795810">
        <w:rPr>
          <w:bCs/>
        </w:rPr>
        <w:t xml:space="preserve"> this many, we asked the twenty-three nominators to restrict their nominations to two</w:t>
      </w:r>
      <w:r w:rsidR="007A3867">
        <w:rPr>
          <w:bCs/>
        </w:rPr>
        <w:t xml:space="preserve"> each</w:t>
      </w:r>
      <w:r w:rsidR="00795810">
        <w:rPr>
          <w:bCs/>
        </w:rPr>
        <w:t xml:space="preserve">.  </w:t>
      </w:r>
      <w:r w:rsidR="007A3867">
        <w:rPr>
          <w:bCs/>
        </w:rPr>
        <w:t xml:space="preserve">This resulted in twenty-seven women being featured with their picture and their biography on the BU webpage for the entire International Women’s Week.  These women were invited to a reception in their </w:t>
      </w:r>
      <w:proofErr w:type="spellStart"/>
      <w:r w:rsidR="007A3867">
        <w:rPr>
          <w:bCs/>
        </w:rPr>
        <w:t>honour</w:t>
      </w:r>
      <w:proofErr w:type="spellEnd"/>
      <w:r w:rsidR="007A3867">
        <w:rPr>
          <w:bCs/>
        </w:rPr>
        <w:t xml:space="preserve"> on March 7</w:t>
      </w:r>
      <w:r w:rsidR="007A3867" w:rsidRPr="007A3867">
        <w:rPr>
          <w:bCs/>
          <w:vertAlign w:val="superscript"/>
        </w:rPr>
        <w:t>th</w:t>
      </w:r>
      <w:r w:rsidR="007A3867">
        <w:rPr>
          <w:bCs/>
        </w:rPr>
        <w:t>, with family, guests, nominators and a Board of Governors member there to witness.  A power point of their pictures and highlights of their accomplishments cycled throughout the reception.  Student musicians from the School of Music played throughout the reception.  Fifty six people attended.  Each nominee received a letter of acknowledgement.  SW provided refreshments for the reception.</w:t>
      </w:r>
    </w:p>
    <w:p w:rsidR="00982029" w:rsidRDefault="00982029">
      <w:pPr>
        <w:spacing w:after="200" w:line="276" w:lineRule="auto"/>
        <w:rPr>
          <w:rFonts w:eastAsia="Calibri"/>
          <w:b/>
        </w:rPr>
      </w:pPr>
      <w:r>
        <w:rPr>
          <w:rFonts w:eastAsia="Calibri"/>
          <w:b/>
        </w:rPr>
        <w:br w:type="page"/>
      </w:r>
    </w:p>
    <w:p w:rsidR="00AD3A99" w:rsidRPr="007A3867" w:rsidRDefault="007A3867" w:rsidP="007A3867">
      <w:pPr>
        <w:tabs>
          <w:tab w:val="left" w:pos="720"/>
        </w:tabs>
        <w:ind w:left="720" w:hanging="360"/>
        <w:rPr>
          <w:bCs/>
        </w:rPr>
      </w:pPr>
      <w:r>
        <w:rPr>
          <w:rFonts w:eastAsia="Calibri"/>
          <w:b/>
        </w:rPr>
        <w:lastRenderedPageBreak/>
        <w:t>(</w:t>
      </w:r>
      <w:proofErr w:type="spellStart"/>
      <w:r>
        <w:rPr>
          <w:rFonts w:eastAsia="Calibri"/>
          <w:b/>
        </w:rPr>
        <w:t>i</w:t>
      </w:r>
      <w:proofErr w:type="spellEnd"/>
      <w:r>
        <w:rPr>
          <w:rFonts w:eastAsia="Calibri"/>
          <w:b/>
        </w:rPr>
        <w:t>)</w:t>
      </w:r>
      <w:r>
        <w:rPr>
          <w:rFonts w:eastAsia="Calibri"/>
          <w:b/>
        </w:rPr>
        <w:tab/>
      </w:r>
      <w:r w:rsidR="00DA37D1">
        <w:rPr>
          <w:b/>
          <w:bCs/>
        </w:rPr>
        <w:t>Wome</w:t>
      </w:r>
      <w:r>
        <w:rPr>
          <w:b/>
          <w:bCs/>
        </w:rPr>
        <w:t xml:space="preserve">n of Distinction YWCA awards </w:t>
      </w:r>
      <w:r w:rsidR="00DA37D1">
        <w:rPr>
          <w:b/>
          <w:bCs/>
        </w:rPr>
        <w:t>nomination:</w:t>
      </w:r>
      <w:r w:rsidR="00AD3A99">
        <w:rPr>
          <w:bCs/>
        </w:rPr>
        <w:t xml:space="preserve">  </w:t>
      </w:r>
      <w:r w:rsidR="00DA37D1">
        <w:rPr>
          <w:bCs/>
        </w:rPr>
        <w:t>For a fourth time, SW decided to nominate a BU faculty member or student for the YWCA Women of Distinction awards</w:t>
      </w:r>
      <w:r w:rsidR="00045DB8">
        <w:rPr>
          <w:bCs/>
        </w:rPr>
        <w:t>,</w:t>
      </w:r>
      <w:r w:rsidR="00045DB8" w:rsidRPr="00045DB8">
        <w:rPr>
          <w:bCs/>
        </w:rPr>
        <w:t xml:space="preserve"> </w:t>
      </w:r>
      <w:r w:rsidR="00045DB8">
        <w:rPr>
          <w:bCs/>
        </w:rPr>
        <w:t>given to women who contribute to the Brandon community or surrounding area and serve as exceptional role models</w:t>
      </w:r>
      <w:r w:rsidR="00DA37D1">
        <w:rPr>
          <w:bCs/>
        </w:rPr>
        <w:t>.  Two members of the SW committee wrote the nomination for Michelle Magnusson, Disability Services Coordinator</w:t>
      </w:r>
      <w:r w:rsidR="00DA37D1" w:rsidRPr="00DA37D1">
        <w:rPr>
          <w:bCs/>
        </w:rPr>
        <w:t xml:space="preserve"> </w:t>
      </w:r>
      <w:r w:rsidR="00DA37D1">
        <w:rPr>
          <w:bCs/>
        </w:rPr>
        <w:t>who is involved in Skate Canada, who score-keeps for boys’ competitive baseball, advocates for learners with disabilities, and serves on the Disabilities Board of Manitoba, as well as having developed her position on campus into a very successful, well-run, well-used service for students who are academically capable but hampered by some disability.  At the March 14</w:t>
      </w:r>
      <w:r w:rsidR="00DA37D1" w:rsidRPr="00DA37D1">
        <w:rPr>
          <w:bCs/>
          <w:vertAlign w:val="superscript"/>
        </w:rPr>
        <w:t>th</w:t>
      </w:r>
      <w:r w:rsidR="00DA37D1">
        <w:rPr>
          <w:bCs/>
        </w:rPr>
        <w:t xml:space="preserve"> banquet Michelle </w:t>
      </w:r>
      <w:r w:rsidR="00045DB8">
        <w:rPr>
          <w:bCs/>
        </w:rPr>
        <w:t xml:space="preserve">was </w:t>
      </w:r>
      <w:r w:rsidR="00DA37D1">
        <w:rPr>
          <w:bCs/>
        </w:rPr>
        <w:t>awarded one of five awards.  SW provided the nomination fee and Michelle’s banquet ticket.</w:t>
      </w:r>
    </w:p>
    <w:p w:rsidR="00673F1C" w:rsidRDefault="00DA37D1" w:rsidP="00673F1C">
      <w:pPr>
        <w:tabs>
          <w:tab w:val="left" w:pos="720"/>
        </w:tabs>
        <w:ind w:left="720" w:hanging="360"/>
        <w:rPr>
          <w:rFonts w:eastAsia="Calibri"/>
        </w:rPr>
      </w:pPr>
      <w:r>
        <w:rPr>
          <w:rFonts w:eastAsia="Calibri"/>
          <w:b/>
        </w:rPr>
        <w:t>(j)</w:t>
      </w:r>
      <w:r>
        <w:rPr>
          <w:rFonts w:eastAsia="Calibri"/>
          <w:b/>
        </w:rPr>
        <w:tab/>
      </w:r>
      <w:r w:rsidR="00673F1C">
        <w:rPr>
          <w:rFonts w:eastAsia="Calibri"/>
          <w:b/>
        </w:rPr>
        <w:t>WRN brown-bag lunch</w:t>
      </w:r>
      <w:r w:rsidR="00673F1C">
        <w:rPr>
          <w:rFonts w:eastAsia="Calibri"/>
        </w:rPr>
        <w:t xml:space="preserve"> </w:t>
      </w:r>
      <w:r w:rsidR="00673F1C" w:rsidRPr="00E65D9C">
        <w:rPr>
          <w:rFonts w:eastAsia="Calibri"/>
          <w:b/>
        </w:rPr>
        <w:t>“Aboriginal Research Methodology”, March</w:t>
      </w:r>
      <w:r w:rsidR="00673F1C">
        <w:rPr>
          <w:rFonts w:eastAsia="Calibri"/>
          <w:b/>
        </w:rPr>
        <w:t xml:space="preserve"> 19,</w:t>
      </w:r>
      <w:r w:rsidR="00673F1C" w:rsidRPr="00E65D9C">
        <w:rPr>
          <w:rFonts w:eastAsia="Calibri"/>
          <w:b/>
        </w:rPr>
        <w:t xml:space="preserve"> 2013</w:t>
      </w:r>
      <w:r w:rsidR="00673F1C">
        <w:rPr>
          <w:rFonts w:eastAsia="Calibri"/>
          <w:b/>
        </w:rPr>
        <w:t>:</w:t>
      </w:r>
      <w:r w:rsidR="00673F1C">
        <w:rPr>
          <w:rFonts w:eastAsia="Calibri"/>
        </w:rPr>
        <w:t xml:space="preserve">  </w:t>
      </w:r>
    </w:p>
    <w:p w:rsidR="00673F1C" w:rsidRPr="005F215D" w:rsidRDefault="00673F1C" w:rsidP="00673F1C">
      <w:pPr>
        <w:tabs>
          <w:tab w:val="left" w:pos="720"/>
        </w:tabs>
        <w:ind w:left="720" w:hanging="360"/>
        <w:rPr>
          <w:rFonts w:eastAsia="Calibri"/>
        </w:rPr>
      </w:pPr>
      <w:r>
        <w:rPr>
          <w:rFonts w:eastAsia="Calibri"/>
        </w:rPr>
        <w:tab/>
        <w:t xml:space="preserve">Dr. </w:t>
      </w:r>
      <w:r>
        <w:t>Lorraine Mayer, Dr. Kelly Saunders and Professor Cathy Mattes were the panel members.  Fourteen attended the session. The panel members responded to questions from the floor – some prepared and vetted ahead of time, others not.  By responding to the questions, the panel members</w:t>
      </w:r>
      <w:r>
        <w:rPr>
          <w:rFonts w:eastAsia="Calibri"/>
        </w:rPr>
        <w:t xml:space="preserve"> outlined and agreed on the protocol necessary to work with aboriginal communities – a relationship must be established and trust built before any progress could be made; the research must be seen as beneficial to the community; the relationship cannot end just because the research ends.  All three presenters expressed frustration with BUREC – they had considerable difficulty getting approval for their research plans because the current guidelines do not work with these communities – preset questions, signed waivers by participants.  </w:t>
      </w:r>
      <w:r w:rsidR="00045DB8">
        <w:rPr>
          <w:rFonts w:eastAsia="Calibri"/>
        </w:rPr>
        <w:t xml:space="preserve">One </w:t>
      </w:r>
      <w:r>
        <w:rPr>
          <w:rFonts w:eastAsia="Calibri"/>
        </w:rPr>
        <w:t xml:space="preserve">BUREC </w:t>
      </w:r>
      <w:r w:rsidR="00045DB8">
        <w:rPr>
          <w:rFonts w:eastAsia="Calibri"/>
        </w:rPr>
        <w:t xml:space="preserve">in attendance hopes to work to change BUREC guidelines </w:t>
      </w:r>
      <w:r>
        <w:rPr>
          <w:rFonts w:eastAsia="Calibri"/>
        </w:rPr>
        <w:t xml:space="preserve">to allow research with aboriginal communities as these researchers have found is necessary. </w:t>
      </w:r>
      <w:r w:rsidR="00045DB8">
        <w:rPr>
          <w:rFonts w:eastAsia="Calibri"/>
        </w:rPr>
        <w:t xml:space="preserve">Another </w:t>
      </w:r>
      <w:r>
        <w:rPr>
          <w:rFonts w:eastAsia="Calibri"/>
        </w:rPr>
        <w:t>noted that OCAP (Ownership Control Access Possession), a national body, would be willing to come to BU to tell them their guidelines.  They had visited U of W and U of M a year ago but it was during our strike, so were unable to come to BU.</w:t>
      </w:r>
      <w:r w:rsidRPr="00710E2F">
        <w:rPr>
          <w:rFonts w:eastAsia="Calibri"/>
        </w:rPr>
        <w:t xml:space="preserve"> </w:t>
      </w:r>
      <w:r>
        <w:rPr>
          <w:rFonts w:eastAsia="Calibri"/>
        </w:rPr>
        <w:t xml:space="preserve"> </w:t>
      </w:r>
      <w:r w:rsidR="00854761">
        <w:rPr>
          <w:rFonts w:eastAsia="Calibri"/>
        </w:rPr>
        <w:t>The idea is that this was the first in an annual series of “Research Methodologies” workshops.</w:t>
      </w:r>
      <w:r w:rsidR="0012257D" w:rsidRPr="0012257D">
        <w:rPr>
          <w:rFonts w:eastAsia="Calibri"/>
        </w:rPr>
        <w:t xml:space="preserve"> </w:t>
      </w:r>
      <w:r w:rsidR="0012257D">
        <w:rPr>
          <w:rFonts w:eastAsia="Calibri"/>
        </w:rPr>
        <w:t xml:space="preserve">SW provided refreshments.  </w:t>
      </w:r>
    </w:p>
    <w:p w:rsidR="003C0C16" w:rsidRDefault="00DA37D1" w:rsidP="003C0C16">
      <w:pPr>
        <w:ind w:left="720" w:right="-360" w:hanging="360"/>
        <w:rPr>
          <w:rFonts w:eastAsia="Calibri"/>
          <w:b/>
        </w:rPr>
      </w:pPr>
      <w:r>
        <w:rPr>
          <w:rFonts w:eastAsia="Calibri"/>
          <w:b/>
        </w:rPr>
        <w:t>(k)</w:t>
      </w:r>
      <w:r>
        <w:rPr>
          <w:rFonts w:eastAsia="Calibri"/>
          <w:b/>
        </w:rPr>
        <w:tab/>
        <w:t>Celebration of e</w:t>
      </w:r>
      <w:r w:rsidR="00AD3A99">
        <w:rPr>
          <w:rFonts w:eastAsia="Calibri"/>
          <w:b/>
        </w:rPr>
        <w:t>nd</w:t>
      </w:r>
      <w:r>
        <w:rPr>
          <w:rFonts w:eastAsia="Calibri"/>
          <w:b/>
        </w:rPr>
        <w:t>-</w:t>
      </w:r>
      <w:r w:rsidR="00AD3A99">
        <w:rPr>
          <w:rFonts w:eastAsia="Calibri"/>
          <w:b/>
        </w:rPr>
        <w:t>of</w:t>
      </w:r>
      <w:r>
        <w:rPr>
          <w:rFonts w:eastAsia="Calibri"/>
          <w:b/>
        </w:rPr>
        <w:t>-</w:t>
      </w:r>
      <w:r w:rsidR="00AD3A99">
        <w:rPr>
          <w:rFonts w:eastAsia="Calibri"/>
          <w:b/>
        </w:rPr>
        <w:t>term lunch</w:t>
      </w:r>
      <w:r>
        <w:rPr>
          <w:rFonts w:eastAsia="Calibri"/>
          <w:b/>
        </w:rPr>
        <w:t xml:space="preserve"> and networking opportunity, April 11, 2013</w:t>
      </w:r>
      <w:r w:rsidR="00AD3A99">
        <w:rPr>
          <w:rFonts w:eastAsia="Calibri"/>
          <w:b/>
        </w:rPr>
        <w:t xml:space="preserve">: </w:t>
      </w:r>
      <w:r w:rsidR="00AD3A99">
        <w:rPr>
          <w:rFonts w:eastAsia="Calibri"/>
        </w:rPr>
        <w:t xml:space="preserve"> </w:t>
      </w:r>
      <w:proofErr w:type="gramStart"/>
      <w:r w:rsidR="003B301F">
        <w:rPr>
          <w:rFonts w:eastAsia="Calibri"/>
        </w:rPr>
        <w:t>Female faculty were</w:t>
      </w:r>
      <w:proofErr w:type="gramEnd"/>
      <w:r w:rsidR="003B301F">
        <w:rPr>
          <w:rFonts w:eastAsia="Calibri"/>
        </w:rPr>
        <w:t xml:space="preserve"> invited to attend a pay-your-own-way lunch catered by Blue Hills Bakery in the Music Faculty Lounge.  Eighteen members attended.  It was very uplifting because each was asked to share their positives for this past year </w:t>
      </w:r>
      <w:r w:rsidR="003B301F">
        <w:t xml:space="preserve">– and we learned a lot about each other and what is going on across campus.  We learned of one Music course that brings elementary school students who have some form of autism on campus to learn music, taught by students in the joint Music-Education program.  We learned of an Education course where students go into local schools throughout the year to assist individual elementary students with their reading and then reconvene regularly to share experiences and learn from each other.  It was obvious that everyone finds enjoyment in their careers and lives and we were buoyed by listening to others’ enthusiasm.  We learned of and were invited to join the Delta Kappa Gamma which is an international society for professional women educators, with a local Brandon chapter.  The society allows for networking, both locally and internationally, through regular meetings and through conferences.  The society also supports women in Third World countries by offering scholarships for women toward achieving their Masters or Ph D.  </w:t>
      </w:r>
      <w:r w:rsidR="00982029">
        <w:t>As well, it offers a $300 scholarship each year to a BU student in education.</w:t>
      </w:r>
      <w:r w:rsidR="003C0C16" w:rsidRPr="003C0C16">
        <w:rPr>
          <w:rFonts w:eastAsia="Calibri"/>
          <w:b/>
        </w:rPr>
        <w:t xml:space="preserve"> </w:t>
      </w:r>
    </w:p>
    <w:p w:rsidR="003C0C16" w:rsidRDefault="003C0C16" w:rsidP="003C0C16">
      <w:pPr>
        <w:ind w:left="720" w:right="-360" w:hanging="360"/>
        <w:rPr>
          <w:rFonts w:eastAsia="Calibri"/>
          <w:b/>
        </w:rPr>
      </w:pPr>
    </w:p>
    <w:p w:rsidR="003C0C16" w:rsidRDefault="003C0C16" w:rsidP="003C0C16">
      <w:pPr>
        <w:ind w:left="720" w:right="-360" w:hanging="360"/>
        <w:rPr>
          <w:rFonts w:eastAsia="Calibri"/>
        </w:rPr>
      </w:pPr>
      <w:r>
        <w:rPr>
          <w:rFonts w:eastAsia="Calibri"/>
          <w:b/>
        </w:rPr>
        <w:t>(l)</w:t>
      </w:r>
      <w:r>
        <w:rPr>
          <w:rFonts w:eastAsia="Calibri"/>
          <w:b/>
        </w:rPr>
        <w:tab/>
        <w:t>Research Enhancement at Brandon University (REBU) Conference, April 30</w:t>
      </w:r>
      <w:r w:rsidRPr="00982029">
        <w:rPr>
          <w:rFonts w:eastAsia="Calibri"/>
          <w:b/>
          <w:vertAlign w:val="superscript"/>
        </w:rPr>
        <w:t>th</w:t>
      </w:r>
      <w:r>
        <w:rPr>
          <w:rFonts w:eastAsia="Calibri"/>
          <w:b/>
        </w:rPr>
        <w:t xml:space="preserve">, 2013:  </w:t>
      </w:r>
      <w:r>
        <w:rPr>
          <w:rFonts w:eastAsia="Calibri"/>
        </w:rPr>
        <w:t xml:space="preserve">As a way of reaching as many researchers as possible and a way to jump-start the “research season” – spring and summer terms, SW thought of planning a spring workshop, modeled on the successful BU Teaching Enhancement Conference (BUTEC) that occurs in late August, before our “teaching season”.  A delegation approached Dr. Care, Acting VP Academic and Provost, in September 2012 to propose the one-day conference.  With his support, SW invited various researchers from across campus to form the planning committee (called the REBU committee).  Interest has been good.  The campus-wide committee, with the help of Rural Development Institute, organized the day.  The key note speaker, Dr. </w:t>
      </w:r>
      <w:proofErr w:type="spellStart"/>
      <w:r>
        <w:rPr>
          <w:rFonts w:eastAsia="Calibri"/>
        </w:rPr>
        <w:t>Geoffery</w:t>
      </w:r>
      <w:proofErr w:type="spellEnd"/>
      <w:r>
        <w:rPr>
          <w:rFonts w:eastAsia="Calibri"/>
        </w:rPr>
        <w:t xml:space="preserve"> </w:t>
      </w:r>
      <w:proofErr w:type="spellStart"/>
      <w:r>
        <w:rPr>
          <w:rFonts w:eastAsia="Calibri"/>
        </w:rPr>
        <w:t>McCafferty</w:t>
      </w:r>
      <w:proofErr w:type="spellEnd"/>
      <w:r>
        <w:rPr>
          <w:rFonts w:eastAsia="Calibri"/>
        </w:rPr>
        <w:t>, in Archeology at U of Calgary, started the day on campus followed by the three sessions which each involved a panel of three BU researchers.  The sessions were titled “Getting it Going – applying for grant and finding sources of funding”; “Getting it Done – how to initiate collaboration and managing the research/teaching/life balance”; and “Getting it Out There – selecting journals, publishing your research, protecting your intellectual property”.  The day end</w:t>
      </w:r>
      <w:r w:rsidR="00275D0F">
        <w:rPr>
          <w:rFonts w:eastAsia="Calibri"/>
        </w:rPr>
        <w:t>ed</w:t>
      </w:r>
      <w:r>
        <w:rPr>
          <w:rFonts w:eastAsia="Calibri"/>
        </w:rPr>
        <w:t xml:space="preserve"> with participants gathering at an off-campus site, The Dock (formerly Clancy’s), to allow further discussion.  The attendance was very encouraging – forty people attended</w:t>
      </w:r>
      <w:r w:rsidR="00275D0F">
        <w:rPr>
          <w:rFonts w:eastAsia="Calibri"/>
        </w:rPr>
        <w:t xml:space="preserve"> the Conference</w:t>
      </w:r>
      <w:r>
        <w:rPr>
          <w:rFonts w:eastAsia="Calibri"/>
        </w:rPr>
        <w:t>.  The discussions were positive in tone and constructive in substance.  Feedback indicates that this was a very worthwhile event.  The hope is that this becomes an annual event.</w:t>
      </w:r>
    </w:p>
    <w:p w:rsidR="003C0C16" w:rsidRPr="00854761" w:rsidRDefault="003C0C16" w:rsidP="003C0C16">
      <w:pPr>
        <w:ind w:left="720" w:hanging="360"/>
      </w:pPr>
      <w:r>
        <w:rPr>
          <w:rFonts w:eastAsia="Calibri"/>
          <w:b/>
        </w:rPr>
        <w:t>(m)</w:t>
      </w:r>
      <w:r>
        <w:rPr>
          <w:rFonts w:eastAsia="Calibri"/>
          <w:b/>
        </w:rPr>
        <w:tab/>
      </w:r>
      <w:r>
        <w:rPr>
          <w:b/>
        </w:rPr>
        <w:t>Workshop on Preparing your Dossier for Promotion, Tenure, and Reclassification, May 3</w:t>
      </w:r>
      <w:r w:rsidRPr="00982029">
        <w:rPr>
          <w:b/>
          <w:vertAlign w:val="superscript"/>
        </w:rPr>
        <w:t>rd</w:t>
      </w:r>
      <w:r>
        <w:rPr>
          <w:b/>
        </w:rPr>
        <w:t xml:space="preserve">, 2013:  </w:t>
      </w:r>
      <w:r>
        <w:t xml:space="preserve">This workshop allowed faculty to hear how others were successful in creating their dossiers for promotion and tenure and reclassification, and to see several successful dossiers.  Six faculty members attended, while seven faculty members led the workshop.  </w:t>
      </w:r>
      <w:r w:rsidR="0012257D">
        <w:t xml:space="preserve">The </w:t>
      </w:r>
      <w:r>
        <w:t xml:space="preserve">SW </w:t>
      </w:r>
      <w:r w:rsidR="0012257D">
        <w:t>provided refreshments</w:t>
      </w:r>
      <w:r>
        <w:t>.</w:t>
      </w:r>
    </w:p>
    <w:p w:rsidR="00982029" w:rsidRDefault="00982029" w:rsidP="00982029">
      <w:pPr>
        <w:ind w:left="360" w:hanging="360"/>
        <w:rPr>
          <w:rFonts w:eastAsia="Calibri"/>
          <w:b/>
        </w:rPr>
      </w:pPr>
      <w:bookmarkStart w:id="0" w:name="_GoBack"/>
      <w:bookmarkEnd w:id="0"/>
      <w:r>
        <w:rPr>
          <w:rFonts w:eastAsia="Calibri"/>
          <w:b/>
        </w:rPr>
        <w:t>5.</w:t>
      </w:r>
      <w:r>
        <w:rPr>
          <w:rFonts w:eastAsia="Calibri"/>
          <w:b/>
        </w:rPr>
        <w:tab/>
        <w:t>Events planned:</w:t>
      </w:r>
    </w:p>
    <w:p w:rsidR="00AD3A99" w:rsidRDefault="00982029" w:rsidP="0012257D">
      <w:pPr>
        <w:ind w:left="720" w:right="-360" w:hanging="360"/>
        <w:rPr>
          <w:rFonts w:eastAsia="Calibri"/>
        </w:rPr>
      </w:pPr>
      <w:r>
        <w:rPr>
          <w:rFonts w:eastAsia="Calibri"/>
          <w:b/>
        </w:rPr>
        <w:t>(a)</w:t>
      </w:r>
      <w:r>
        <w:rPr>
          <w:rFonts w:eastAsia="Calibri"/>
          <w:b/>
        </w:rPr>
        <w:tab/>
      </w:r>
      <w:r w:rsidR="00854761" w:rsidRPr="00854761">
        <w:rPr>
          <w:rFonts w:eastAsia="Calibri"/>
          <w:b/>
        </w:rPr>
        <w:t>WRN Research Methodologies workshop</w:t>
      </w:r>
      <w:r w:rsidR="00854761">
        <w:rPr>
          <w:rFonts w:eastAsia="Calibri"/>
        </w:rPr>
        <w:t xml:space="preserve">:  The second in the series – tentatively “Research Methods in Health Studies” – will be planned for next year. </w:t>
      </w:r>
    </w:p>
    <w:p w:rsidR="000667E1" w:rsidRDefault="0012257D" w:rsidP="000667E1">
      <w:pPr>
        <w:ind w:left="720" w:hanging="360"/>
        <w:rPr>
          <w:rFonts w:eastAsia="Calibri"/>
        </w:rPr>
      </w:pPr>
      <w:r>
        <w:rPr>
          <w:rFonts w:eastAsia="Calibri"/>
          <w:b/>
        </w:rPr>
        <w:t>(b</w:t>
      </w:r>
      <w:r w:rsidR="000667E1">
        <w:rPr>
          <w:rFonts w:eastAsia="Calibri"/>
          <w:b/>
        </w:rPr>
        <w:t>)</w:t>
      </w:r>
      <w:r w:rsidR="000667E1">
        <w:rPr>
          <w:rFonts w:eastAsia="Calibri"/>
          <w:b/>
        </w:rPr>
        <w:tab/>
      </w:r>
      <w:r w:rsidR="00AD3A99">
        <w:rPr>
          <w:rFonts w:eastAsia="Calibri"/>
          <w:b/>
        </w:rPr>
        <w:t>Summer 2014 SW Review Preparation:</w:t>
      </w:r>
      <w:r w:rsidR="00AD3A99">
        <w:rPr>
          <w:rFonts w:eastAsia="Calibri"/>
        </w:rPr>
        <w:t xml:space="preserve">  </w:t>
      </w:r>
      <w:r w:rsidR="000667E1">
        <w:rPr>
          <w:rFonts w:eastAsia="Calibri"/>
        </w:rPr>
        <w:t xml:space="preserve">SWRC is mandated by the Article 30 in the CA to do a review at least every five years of the status of female faculty at BU.  Planning is starting. </w:t>
      </w:r>
    </w:p>
    <w:p w:rsidR="006C5BCA" w:rsidRPr="006C5BCA" w:rsidRDefault="006C5BCA" w:rsidP="000667E1">
      <w:pPr>
        <w:pStyle w:val="ListParagraph"/>
        <w:numPr>
          <w:ilvl w:val="0"/>
          <w:numId w:val="14"/>
        </w:numPr>
        <w:tabs>
          <w:tab w:val="num" w:pos="360"/>
          <w:tab w:val="left" w:pos="720"/>
        </w:tabs>
        <w:ind w:left="360" w:right="720"/>
        <w:rPr>
          <w:bCs/>
          <w:color w:val="333333"/>
        </w:rPr>
      </w:pPr>
      <w:r>
        <w:rPr>
          <w:b/>
        </w:rPr>
        <w:t>Other</w:t>
      </w:r>
      <w:r w:rsidR="00D86A7D">
        <w:rPr>
          <w:b/>
        </w:rPr>
        <w:t xml:space="preserve"> issues discussed</w:t>
      </w:r>
      <w:r>
        <w:rPr>
          <w:b/>
        </w:rPr>
        <w:t>:</w:t>
      </w:r>
    </w:p>
    <w:p w:rsidR="00D86A7D" w:rsidRDefault="006C5BCA" w:rsidP="0012257D">
      <w:pPr>
        <w:pStyle w:val="ListParagraph"/>
        <w:tabs>
          <w:tab w:val="left" w:pos="720"/>
        </w:tabs>
        <w:ind w:left="360" w:right="720"/>
      </w:pPr>
      <w:r>
        <w:rPr>
          <w:b/>
        </w:rPr>
        <w:t>P</w:t>
      </w:r>
      <w:r w:rsidR="00EE128A" w:rsidRPr="00EE128A">
        <w:rPr>
          <w:b/>
        </w:rPr>
        <w:t xml:space="preserve">rotocol to deal with student-student harassment:  </w:t>
      </w:r>
      <w:r w:rsidR="000667E1">
        <w:t>SW is looking forward to having an effective revised Respectful Workplace Policy in place soon.  A delegation for the SWRC met with Sharon Hooper on July 3</w:t>
      </w:r>
      <w:r w:rsidR="000667E1" w:rsidRPr="000667E1">
        <w:rPr>
          <w:vertAlign w:val="superscript"/>
        </w:rPr>
        <w:t>rd</w:t>
      </w:r>
      <w:r w:rsidR="000667E1">
        <w:t>, 2012 and November 27</w:t>
      </w:r>
      <w:r w:rsidR="000667E1" w:rsidRPr="000667E1">
        <w:rPr>
          <w:vertAlign w:val="superscript"/>
        </w:rPr>
        <w:t>th</w:t>
      </w:r>
      <w:r w:rsidR="000667E1">
        <w:t>, 2013 to discuss our concerns.</w:t>
      </w:r>
    </w:p>
    <w:p w:rsidR="000667E1" w:rsidRDefault="000667E1">
      <w:pPr>
        <w:spacing w:after="200" w:line="276" w:lineRule="auto"/>
        <w:rPr>
          <w:b/>
        </w:rPr>
      </w:pPr>
      <w:r>
        <w:rPr>
          <w:b/>
        </w:rPr>
        <w:br w:type="page"/>
      </w:r>
    </w:p>
    <w:p w:rsidR="00EE128A" w:rsidRDefault="00C57BF8" w:rsidP="000667E1">
      <w:pPr>
        <w:ind w:left="360" w:hanging="360"/>
        <w:rPr>
          <w:bCs/>
          <w:color w:val="000000"/>
        </w:rPr>
      </w:pPr>
      <w:r>
        <w:rPr>
          <w:b/>
        </w:rPr>
        <w:t>7</w:t>
      </w:r>
      <w:r w:rsidR="00EE128A" w:rsidRPr="00EE128A">
        <w:rPr>
          <w:b/>
        </w:rPr>
        <w:t>.</w:t>
      </w:r>
      <w:r w:rsidR="00EE128A" w:rsidRPr="00EE128A">
        <w:rPr>
          <w:b/>
        </w:rPr>
        <w:tab/>
      </w:r>
      <w:r w:rsidR="00EE128A" w:rsidRPr="00EE128A">
        <w:rPr>
          <w:b/>
          <w:bCs/>
          <w:color w:val="000000"/>
        </w:rPr>
        <w:t xml:space="preserve">Financial Report: </w:t>
      </w:r>
      <w:r w:rsidR="00EE128A" w:rsidRPr="00EE128A">
        <w:rPr>
          <w:bCs/>
          <w:color w:val="000000"/>
        </w:rPr>
        <w:t xml:space="preserve"> </w:t>
      </w:r>
      <w:r w:rsidR="00EE128A" w:rsidRPr="00EE128A">
        <w:rPr>
          <w:bCs/>
          <w:color w:val="000000"/>
        </w:rPr>
        <w:tab/>
      </w:r>
    </w:p>
    <w:p w:rsidR="000667E1" w:rsidRDefault="000667E1" w:rsidP="000667E1">
      <w:pPr>
        <w:ind w:left="360" w:hanging="360"/>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075"/>
        <w:gridCol w:w="1260"/>
        <w:gridCol w:w="1107"/>
        <w:gridCol w:w="1620"/>
      </w:tblGrid>
      <w:tr w:rsidR="000667E1" w:rsidRPr="000667E1" w:rsidTr="00AC38BD">
        <w:trPr>
          <w:trHeight w:val="300"/>
        </w:trPr>
        <w:tc>
          <w:tcPr>
            <w:tcW w:w="1340" w:type="dxa"/>
            <w:shd w:val="clear" w:color="auto" w:fill="auto"/>
            <w:noWrap/>
            <w:vAlign w:val="bottom"/>
            <w:hideMark/>
          </w:tcPr>
          <w:p w:rsidR="000667E1" w:rsidRPr="000667E1" w:rsidRDefault="000667E1" w:rsidP="000667E1">
            <w:pPr>
              <w:jc w:val="center"/>
              <w:rPr>
                <w:rFonts w:ascii="Calibri" w:hAnsi="Calibri"/>
                <w:color w:val="000000"/>
                <w:sz w:val="22"/>
                <w:szCs w:val="22"/>
              </w:rPr>
            </w:pPr>
            <w:r w:rsidRPr="000667E1">
              <w:rPr>
                <w:rFonts w:ascii="Calibri" w:hAnsi="Calibri"/>
                <w:color w:val="000000"/>
                <w:sz w:val="22"/>
                <w:szCs w:val="22"/>
              </w:rPr>
              <w:t>Date</w:t>
            </w:r>
          </w:p>
        </w:tc>
        <w:tc>
          <w:tcPr>
            <w:tcW w:w="4075" w:type="dxa"/>
            <w:shd w:val="clear" w:color="auto" w:fill="auto"/>
            <w:noWrap/>
            <w:vAlign w:val="bottom"/>
            <w:hideMark/>
          </w:tcPr>
          <w:p w:rsidR="000667E1" w:rsidRPr="000667E1" w:rsidRDefault="000667E1" w:rsidP="000667E1">
            <w:pPr>
              <w:rPr>
                <w:rFonts w:ascii="Calibri" w:hAnsi="Calibri"/>
                <w:color w:val="000000"/>
                <w:sz w:val="22"/>
                <w:szCs w:val="22"/>
              </w:rPr>
            </w:pPr>
            <w:r w:rsidRPr="000667E1">
              <w:rPr>
                <w:rFonts w:ascii="Calibri" w:hAnsi="Calibri"/>
                <w:color w:val="000000"/>
                <w:sz w:val="22"/>
                <w:szCs w:val="22"/>
              </w:rPr>
              <w:t>Description</w:t>
            </w:r>
          </w:p>
        </w:tc>
        <w:tc>
          <w:tcPr>
            <w:tcW w:w="1260" w:type="dxa"/>
            <w:shd w:val="clear" w:color="auto" w:fill="auto"/>
            <w:noWrap/>
            <w:vAlign w:val="bottom"/>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Deposit</w:t>
            </w:r>
          </w:p>
        </w:tc>
        <w:tc>
          <w:tcPr>
            <w:tcW w:w="1080" w:type="dxa"/>
            <w:shd w:val="clear" w:color="auto" w:fill="auto"/>
            <w:noWrap/>
            <w:vAlign w:val="bottom"/>
            <w:hideMark/>
          </w:tcPr>
          <w:p w:rsidR="000667E1" w:rsidRPr="000667E1" w:rsidRDefault="000667E1" w:rsidP="00045DB8">
            <w:pPr>
              <w:ind w:right="-108"/>
              <w:rPr>
                <w:rFonts w:ascii="Calibri" w:hAnsi="Calibri"/>
                <w:color w:val="000000"/>
                <w:sz w:val="22"/>
                <w:szCs w:val="22"/>
              </w:rPr>
            </w:pPr>
            <w:r w:rsidRPr="000667E1">
              <w:rPr>
                <w:rFonts w:ascii="Calibri" w:hAnsi="Calibri"/>
                <w:color w:val="000000"/>
                <w:sz w:val="22"/>
                <w:szCs w:val="22"/>
              </w:rPr>
              <w:t>Expense</w:t>
            </w:r>
          </w:p>
        </w:tc>
        <w:tc>
          <w:tcPr>
            <w:tcW w:w="1620" w:type="dxa"/>
            <w:shd w:val="clear" w:color="auto" w:fill="auto"/>
            <w:noWrap/>
            <w:vAlign w:val="bottom"/>
            <w:hideMark/>
          </w:tcPr>
          <w:p w:rsidR="000667E1" w:rsidRPr="000667E1" w:rsidRDefault="00045DB8" w:rsidP="00045DB8">
            <w:pPr>
              <w:rPr>
                <w:rFonts w:ascii="Calibri" w:hAnsi="Calibri"/>
                <w:color w:val="000000"/>
                <w:sz w:val="22"/>
                <w:szCs w:val="22"/>
              </w:rPr>
            </w:pPr>
            <w:r>
              <w:rPr>
                <w:rFonts w:ascii="Calibri" w:hAnsi="Calibri"/>
                <w:color w:val="000000"/>
                <w:sz w:val="22"/>
                <w:szCs w:val="22"/>
              </w:rPr>
              <w:t xml:space="preserve"> </w:t>
            </w:r>
            <w:r w:rsidR="000667E1" w:rsidRPr="000667E1">
              <w:rPr>
                <w:rFonts w:ascii="Calibri" w:hAnsi="Calibri"/>
                <w:color w:val="000000"/>
                <w:sz w:val="22"/>
                <w:szCs w:val="22"/>
              </w:rPr>
              <w:t>Balance</w:t>
            </w:r>
          </w:p>
        </w:tc>
      </w:tr>
      <w:tr w:rsidR="000667E1" w:rsidRPr="000667E1" w:rsidTr="00AC38BD">
        <w:trPr>
          <w:trHeight w:val="300"/>
        </w:trPr>
        <w:tc>
          <w:tcPr>
            <w:tcW w:w="1340" w:type="dxa"/>
            <w:shd w:val="clear" w:color="auto" w:fill="auto"/>
            <w:noWrap/>
            <w:vAlign w:val="center"/>
            <w:hideMark/>
          </w:tcPr>
          <w:p w:rsidR="000667E1" w:rsidRPr="000667E1" w:rsidRDefault="00AC38BD" w:rsidP="00AC38BD">
            <w:pPr>
              <w:rPr>
                <w:rFonts w:ascii="Calibri" w:hAnsi="Calibri"/>
                <w:color w:val="000000"/>
                <w:sz w:val="22"/>
                <w:szCs w:val="22"/>
              </w:rPr>
            </w:pPr>
            <w:r>
              <w:rPr>
                <w:rFonts w:ascii="Calibri" w:hAnsi="Calibri"/>
                <w:color w:val="000000"/>
                <w:sz w:val="22"/>
                <w:szCs w:val="22"/>
              </w:rPr>
              <w:t xml:space="preserve">  </w:t>
            </w:r>
            <w:r w:rsidR="000667E1" w:rsidRPr="000667E1">
              <w:rPr>
                <w:rFonts w:ascii="Calibri" w:hAnsi="Calibri"/>
                <w:color w:val="000000"/>
                <w:sz w:val="22"/>
                <w:szCs w:val="22"/>
              </w:rPr>
              <w:t>1-Apr-12</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260"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p>
        </w:tc>
        <w:tc>
          <w:tcPr>
            <w:tcW w:w="1620" w:type="dxa"/>
            <w:shd w:val="clear" w:color="auto" w:fill="auto"/>
            <w:noWrap/>
            <w:vAlign w:val="center"/>
            <w:hideMark/>
          </w:tcPr>
          <w:p w:rsidR="000667E1" w:rsidRPr="000667E1" w:rsidRDefault="00045DB8" w:rsidP="00045DB8">
            <w:pPr>
              <w:rPr>
                <w:rFonts w:ascii="Calibri" w:hAnsi="Calibri"/>
                <w:color w:val="000000"/>
                <w:sz w:val="22"/>
                <w:szCs w:val="22"/>
              </w:rPr>
            </w:pPr>
            <w:r>
              <w:rPr>
                <w:rFonts w:ascii="Calibri" w:hAnsi="Calibri"/>
                <w:color w:val="000000"/>
                <w:sz w:val="22"/>
                <w:szCs w:val="22"/>
              </w:rPr>
              <w:t xml:space="preserve"> $ </w:t>
            </w:r>
            <w:r w:rsidR="000667E1" w:rsidRPr="000667E1">
              <w:rPr>
                <w:rFonts w:ascii="Calibri" w:hAnsi="Calibri"/>
                <w:color w:val="000000"/>
                <w:sz w:val="22"/>
                <w:szCs w:val="22"/>
              </w:rPr>
              <w:t xml:space="preserve">  (13.76)</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27-Apr-12</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Deposit from end of term lunch</w:t>
            </w:r>
          </w:p>
        </w:tc>
        <w:tc>
          <w:tcPr>
            <w:tcW w:w="1260" w:type="dxa"/>
            <w:shd w:val="clear" w:color="auto" w:fill="auto"/>
            <w:noWrap/>
            <w:vAlign w:val="center"/>
            <w:hideMark/>
          </w:tcPr>
          <w:p w:rsidR="000667E1" w:rsidRPr="000667E1" w:rsidRDefault="000667E1" w:rsidP="00AC38BD">
            <w:pPr>
              <w:ind w:right="-108"/>
              <w:rPr>
                <w:rFonts w:ascii="Calibri" w:hAnsi="Calibri"/>
                <w:color w:val="000000"/>
                <w:sz w:val="22"/>
                <w:szCs w:val="22"/>
              </w:rPr>
            </w:pPr>
            <w:r w:rsidRPr="000667E1">
              <w:rPr>
                <w:rFonts w:ascii="Calibri" w:hAnsi="Calibri"/>
                <w:color w:val="000000"/>
                <w:sz w:val="22"/>
                <w:szCs w:val="22"/>
              </w:rPr>
              <w:t xml:space="preserve"> $  110.00 </w:t>
            </w: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96.24 </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27-Apr-12</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Expenses of end of term lunch</w:t>
            </w:r>
          </w:p>
        </w:tc>
        <w:tc>
          <w:tcPr>
            <w:tcW w:w="1260" w:type="dxa"/>
            <w:shd w:val="clear" w:color="auto" w:fill="auto"/>
            <w:noWrap/>
            <w:vAlign w:val="center"/>
            <w:hideMark/>
          </w:tcPr>
          <w:p w:rsidR="000667E1" w:rsidRPr="000667E1" w:rsidRDefault="000667E1" w:rsidP="00AC38BD">
            <w:pPr>
              <w:ind w:right="-108"/>
              <w:rPr>
                <w:rFonts w:ascii="Calibri" w:hAnsi="Calibri"/>
                <w:color w:val="000000"/>
                <w:sz w:val="22"/>
                <w:szCs w:val="22"/>
              </w:rPr>
            </w:pP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r w:rsidRPr="000667E1">
              <w:rPr>
                <w:rFonts w:ascii="Calibri" w:hAnsi="Calibri"/>
                <w:color w:val="000000"/>
                <w:sz w:val="22"/>
                <w:szCs w:val="22"/>
              </w:rPr>
              <w:t>$</w:t>
            </w:r>
            <w:r w:rsidR="00AC38BD">
              <w:rPr>
                <w:rFonts w:ascii="Calibri" w:hAnsi="Calibri"/>
                <w:color w:val="000000"/>
                <w:sz w:val="22"/>
                <w:szCs w:val="22"/>
              </w:rPr>
              <w:t xml:space="preserve"> 1</w:t>
            </w:r>
            <w:r w:rsidRPr="000667E1">
              <w:rPr>
                <w:rFonts w:ascii="Calibri" w:hAnsi="Calibri"/>
                <w:color w:val="000000"/>
                <w:sz w:val="22"/>
                <w:szCs w:val="22"/>
              </w:rPr>
              <w:t xml:space="preserve">09.87 </w:t>
            </w: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(13.63)</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18-May-12</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Transfer from President's Office</w:t>
            </w:r>
          </w:p>
        </w:tc>
        <w:tc>
          <w:tcPr>
            <w:tcW w:w="1260" w:type="dxa"/>
            <w:shd w:val="clear" w:color="auto" w:fill="auto"/>
            <w:noWrap/>
            <w:vAlign w:val="center"/>
            <w:hideMark/>
          </w:tcPr>
          <w:p w:rsidR="000667E1" w:rsidRPr="000667E1" w:rsidRDefault="000667E1" w:rsidP="00AC38BD">
            <w:pPr>
              <w:ind w:right="-108"/>
              <w:rPr>
                <w:rFonts w:ascii="Calibri" w:hAnsi="Calibri"/>
                <w:color w:val="000000"/>
                <w:sz w:val="22"/>
                <w:szCs w:val="22"/>
              </w:rPr>
            </w:pPr>
            <w:r w:rsidRPr="000667E1">
              <w:rPr>
                <w:rFonts w:ascii="Calibri" w:hAnsi="Calibri"/>
                <w:color w:val="000000"/>
                <w:sz w:val="22"/>
                <w:szCs w:val="22"/>
              </w:rPr>
              <w:t xml:space="preserve"> $  300.00 </w:t>
            </w: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286.37 </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24-May-12</w:t>
            </w:r>
          </w:p>
        </w:tc>
        <w:tc>
          <w:tcPr>
            <w:tcW w:w="4075" w:type="dxa"/>
            <w:shd w:val="clear" w:color="auto" w:fill="auto"/>
            <w:noWrap/>
            <w:vAlign w:val="center"/>
            <w:hideMark/>
          </w:tcPr>
          <w:p w:rsidR="00AC38BD" w:rsidRDefault="000667E1" w:rsidP="00AC38BD">
            <w:pPr>
              <w:rPr>
                <w:rFonts w:ascii="Calibri" w:hAnsi="Calibri"/>
                <w:color w:val="000000"/>
                <w:sz w:val="22"/>
                <w:szCs w:val="22"/>
              </w:rPr>
            </w:pPr>
            <w:r w:rsidRPr="000667E1">
              <w:rPr>
                <w:rFonts w:ascii="Calibri" w:hAnsi="Calibri"/>
                <w:color w:val="000000"/>
                <w:sz w:val="22"/>
                <w:szCs w:val="22"/>
              </w:rPr>
              <w:t xml:space="preserve">Promotion and Tenure Workshop </w:t>
            </w:r>
          </w:p>
          <w:p w:rsidR="00AC38BD" w:rsidRPr="000667E1" w:rsidRDefault="000667E1" w:rsidP="00AC38BD">
            <w:pPr>
              <w:rPr>
                <w:rFonts w:ascii="Calibri" w:hAnsi="Calibri"/>
                <w:color w:val="000000"/>
                <w:sz w:val="22"/>
                <w:szCs w:val="22"/>
              </w:rPr>
            </w:pPr>
            <w:r w:rsidRPr="000667E1">
              <w:rPr>
                <w:rFonts w:ascii="Calibri" w:hAnsi="Calibri"/>
                <w:color w:val="000000"/>
                <w:sz w:val="22"/>
                <w:szCs w:val="22"/>
              </w:rPr>
              <w:t>refreshments</w:t>
            </w:r>
          </w:p>
        </w:tc>
        <w:tc>
          <w:tcPr>
            <w:tcW w:w="1260" w:type="dxa"/>
            <w:shd w:val="clear" w:color="auto" w:fill="auto"/>
            <w:noWrap/>
            <w:vAlign w:val="center"/>
            <w:hideMark/>
          </w:tcPr>
          <w:p w:rsidR="000667E1" w:rsidRPr="000667E1" w:rsidRDefault="000667E1" w:rsidP="00AC38BD">
            <w:pPr>
              <w:ind w:right="-108"/>
              <w:rPr>
                <w:rFonts w:ascii="Calibri" w:hAnsi="Calibri"/>
                <w:color w:val="000000"/>
                <w:sz w:val="22"/>
                <w:szCs w:val="22"/>
              </w:rPr>
            </w:pP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r w:rsidRPr="000667E1">
              <w:rPr>
                <w:rFonts w:ascii="Calibri" w:hAnsi="Calibri"/>
                <w:color w:val="000000"/>
                <w:sz w:val="22"/>
                <w:szCs w:val="22"/>
              </w:rPr>
              <w:t>$</w:t>
            </w:r>
            <w:r w:rsidR="00AC38BD">
              <w:rPr>
                <w:rFonts w:ascii="Calibri" w:hAnsi="Calibri"/>
                <w:color w:val="000000"/>
                <w:sz w:val="22"/>
                <w:szCs w:val="22"/>
              </w:rPr>
              <w:t xml:space="preserve"> </w:t>
            </w:r>
            <w:r w:rsidRPr="000667E1">
              <w:rPr>
                <w:rFonts w:ascii="Calibri" w:hAnsi="Calibri"/>
                <w:color w:val="000000"/>
                <w:sz w:val="22"/>
                <w:szCs w:val="22"/>
              </w:rPr>
              <w:t xml:space="preserve"> 49.89 </w:t>
            </w: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236.48 </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31-May-1</w:t>
            </w:r>
            <w:r w:rsidR="00AC38BD">
              <w:rPr>
                <w:rFonts w:ascii="Calibri" w:hAnsi="Calibri"/>
                <w:color w:val="000000"/>
                <w:sz w:val="22"/>
                <w:szCs w:val="22"/>
              </w:rPr>
              <w:t>2</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 xml:space="preserve">Transfer from BUFA </w:t>
            </w:r>
          </w:p>
        </w:tc>
        <w:tc>
          <w:tcPr>
            <w:tcW w:w="1260" w:type="dxa"/>
            <w:shd w:val="clear" w:color="auto" w:fill="auto"/>
            <w:noWrap/>
            <w:vAlign w:val="center"/>
            <w:hideMark/>
          </w:tcPr>
          <w:p w:rsidR="000667E1" w:rsidRPr="000667E1" w:rsidRDefault="000667E1" w:rsidP="00AC38BD">
            <w:pPr>
              <w:ind w:right="-108"/>
              <w:rPr>
                <w:rFonts w:ascii="Calibri" w:hAnsi="Calibri"/>
                <w:color w:val="000000"/>
                <w:sz w:val="22"/>
                <w:szCs w:val="22"/>
              </w:rPr>
            </w:pPr>
            <w:r w:rsidRPr="000667E1">
              <w:rPr>
                <w:rFonts w:ascii="Calibri" w:hAnsi="Calibri"/>
                <w:color w:val="000000"/>
                <w:sz w:val="22"/>
                <w:szCs w:val="22"/>
              </w:rPr>
              <w:t xml:space="preserve"> $  300.00 </w:t>
            </w: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536.48 </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21-Sep-12</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Copying charges</w:t>
            </w:r>
          </w:p>
        </w:tc>
        <w:tc>
          <w:tcPr>
            <w:tcW w:w="1260"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r w:rsidRPr="000667E1">
              <w:rPr>
                <w:rFonts w:ascii="Calibri" w:hAnsi="Calibri"/>
                <w:color w:val="000000"/>
                <w:sz w:val="22"/>
                <w:szCs w:val="22"/>
              </w:rPr>
              <w:t>$</w:t>
            </w:r>
            <w:r w:rsidR="00AC38BD">
              <w:rPr>
                <w:rFonts w:ascii="Calibri" w:hAnsi="Calibri"/>
                <w:color w:val="000000"/>
                <w:sz w:val="22"/>
                <w:szCs w:val="22"/>
              </w:rPr>
              <w:t xml:space="preserve"> </w:t>
            </w:r>
            <w:r w:rsidRPr="000667E1">
              <w:rPr>
                <w:rFonts w:ascii="Calibri" w:hAnsi="Calibri"/>
                <w:color w:val="000000"/>
                <w:sz w:val="22"/>
                <w:szCs w:val="22"/>
              </w:rPr>
              <w:t xml:space="preserve">  </w:t>
            </w:r>
            <w:r w:rsidR="00AC38BD">
              <w:rPr>
                <w:rFonts w:ascii="Calibri" w:hAnsi="Calibri"/>
                <w:color w:val="000000"/>
                <w:sz w:val="22"/>
                <w:szCs w:val="22"/>
              </w:rPr>
              <w:t xml:space="preserve"> </w:t>
            </w:r>
            <w:r w:rsidRPr="000667E1">
              <w:rPr>
                <w:rFonts w:ascii="Calibri" w:hAnsi="Calibri"/>
                <w:color w:val="000000"/>
                <w:sz w:val="22"/>
                <w:szCs w:val="22"/>
              </w:rPr>
              <w:t xml:space="preserve">3.04 </w:t>
            </w: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533.44 </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28-Sep-12</w:t>
            </w:r>
          </w:p>
        </w:tc>
        <w:tc>
          <w:tcPr>
            <w:tcW w:w="4075" w:type="dxa"/>
            <w:shd w:val="clear" w:color="auto" w:fill="auto"/>
            <w:noWrap/>
            <w:vAlign w:val="center"/>
            <w:hideMark/>
          </w:tcPr>
          <w:p w:rsidR="00AC38BD" w:rsidRDefault="000667E1" w:rsidP="00AC38BD">
            <w:pPr>
              <w:rPr>
                <w:rFonts w:ascii="Calibri" w:hAnsi="Calibri"/>
                <w:color w:val="000000"/>
                <w:sz w:val="22"/>
                <w:szCs w:val="22"/>
              </w:rPr>
            </w:pPr>
            <w:r w:rsidRPr="000667E1">
              <w:rPr>
                <w:rFonts w:ascii="Calibri" w:hAnsi="Calibri"/>
                <w:color w:val="000000"/>
                <w:sz w:val="22"/>
                <w:szCs w:val="22"/>
              </w:rPr>
              <w:t xml:space="preserve">Promotion and Tenure Workshop </w:t>
            </w:r>
          </w:p>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refreshments</w:t>
            </w:r>
          </w:p>
        </w:tc>
        <w:tc>
          <w:tcPr>
            <w:tcW w:w="1260"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080" w:type="dxa"/>
            <w:shd w:val="clear" w:color="auto" w:fill="auto"/>
            <w:noWrap/>
            <w:vAlign w:val="center"/>
            <w:hideMark/>
          </w:tcPr>
          <w:p w:rsidR="000667E1" w:rsidRPr="000667E1" w:rsidRDefault="00AC38BD" w:rsidP="00AC38BD">
            <w:pPr>
              <w:ind w:right="-108"/>
              <w:rPr>
                <w:rFonts w:ascii="Calibri" w:hAnsi="Calibri"/>
                <w:color w:val="000000"/>
                <w:sz w:val="22"/>
                <w:szCs w:val="22"/>
              </w:rPr>
            </w:pPr>
            <w:r>
              <w:rPr>
                <w:rFonts w:ascii="Calibri" w:hAnsi="Calibri"/>
                <w:color w:val="000000"/>
                <w:sz w:val="22"/>
                <w:szCs w:val="22"/>
              </w:rPr>
              <w:t xml:space="preserve">$  </w:t>
            </w:r>
            <w:r w:rsidR="000667E1" w:rsidRPr="000667E1">
              <w:rPr>
                <w:rFonts w:ascii="Calibri" w:hAnsi="Calibri"/>
                <w:color w:val="000000"/>
                <w:sz w:val="22"/>
                <w:szCs w:val="22"/>
              </w:rPr>
              <w:t xml:space="preserve">86.27 </w:t>
            </w: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447.17 </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31-Oct-12</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Mentoring Workshop refreshments</w:t>
            </w:r>
          </w:p>
        </w:tc>
        <w:tc>
          <w:tcPr>
            <w:tcW w:w="1260"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r w:rsidRPr="000667E1">
              <w:rPr>
                <w:rFonts w:ascii="Calibri" w:hAnsi="Calibri"/>
                <w:color w:val="000000"/>
                <w:sz w:val="22"/>
                <w:szCs w:val="22"/>
              </w:rPr>
              <w:t>$</w:t>
            </w:r>
            <w:r w:rsidR="00AC38BD">
              <w:rPr>
                <w:rFonts w:ascii="Calibri" w:hAnsi="Calibri"/>
                <w:color w:val="000000"/>
                <w:sz w:val="22"/>
                <w:szCs w:val="22"/>
              </w:rPr>
              <w:t xml:space="preserve"> </w:t>
            </w:r>
            <w:r w:rsidRPr="000667E1">
              <w:rPr>
                <w:rFonts w:ascii="Calibri" w:hAnsi="Calibri"/>
                <w:color w:val="000000"/>
                <w:sz w:val="22"/>
                <w:szCs w:val="22"/>
              </w:rPr>
              <w:t xml:space="preserve"> 92.66 </w:t>
            </w: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354.51 </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21-Nov-12</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WRN "Getting Published" refreshments</w:t>
            </w:r>
          </w:p>
        </w:tc>
        <w:tc>
          <w:tcPr>
            <w:tcW w:w="1260"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080" w:type="dxa"/>
            <w:shd w:val="clear" w:color="auto" w:fill="auto"/>
            <w:noWrap/>
            <w:vAlign w:val="center"/>
            <w:hideMark/>
          </w:tcPr>
          <w:p w:rsidR="000667E1" w:rsidRPr="000667E1" w:rsidRDefault="000667E1" w:rsidP="00AC38BD">
            <w:pPr>
              <w:ind w:right="-108"/>
              <w:rPr>
                <w:rFonts w:ascii="Calibri" w:hAnsi="Calibri"/>
                <w:color w:val="000000"/>
                <w:sz w:val="22"/>
                <w:szCs w:val="22"/>
              </w:rPr>
            </w:pPr>
            <w:r w:rsidRPr="000667E1">
              <w:rPr>
                <w:rFonts w:ascii="Calibri" w:hAnsi="Calibri"/>
                <w:color w:val="000000"/>
                <w:sz w:val="22"/>
                <w:szCs w:val="22"/>
              </w:rPr>
              <w:t>$</w:t>
            </w:r>
            <w:r w:rsidR="00AC38BD">
              <w:rPr>
                <w:rFonts w:ascii="Calibri" w:hAnsi="Calibri"/>
                <w:color w:val="000000"/>
                <w:sz w:val="22"/>
                <w:szCs w:val="22"/>
              </w:rPr>
              <w:t xml:space="preserve"> </w:t>
            </w:r>
            <w:r w:rsidRPr="000667E1">
              <w:rPr>
                <w:rFonts w:ascii="Calibri" w:hAnsi="Calibri"/>
                <w:color w:val="000000"/>
                <w:sz w:val="22"/>
                <w:szCs w:val="22"/>
              </w:rPr>
              <w:t xml:space="preserve"> 30.29 </w:t>
            </w: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324.22 </w:t>
            </w:r>
          </w:p>
        </w:tc>
      </w:tr>
      <w:tr w:rsidR="000667E1" w:rsidRPr="000667E1" w:rsidTr="00AC38BD">
        <w:trPr>
          <w:trHeight w:val="300"/>
        </w:trPr>
        <w:tc>
          <w:tcPr>
            <w:tcW w:w="1340" w:type="dxa"/>
            <w:shd w:val="clear" w:color="auto" w:fill="auto"/>
            <w:noWrap/>
            <w:vAlign w:val="center"/>
            <w:hideMark/>
          </w:tcPr>
          <w:p w:rsidR="000667E1" w:rsidRPr="000667E1" w:rsidRDefault="00AC38BD" w:rsidP="00AC38BD">
            <w:pPr>
              <w:rPr>
                <w:rFonts w:ascii="Calibri" w:hAnsi="Calibri"/>
                <w:color w:val="000000"/>
                <w:sz w:val="22"/>
                <w:szCs w:val="22"/>
              </w:rPr>
            </w:pPr>
            <w:r>
              <w:rPr>
                <w:rFonts w:ascii="Calibri" w:hAnsi="Calibri"/>
                <w:color w:val="000000"/>
                <w:sz w:val="22"/>
                <w:szCs w:val="22"/>
              </w:rPr>
              <w:t xml:space="preserve">  </w:t>
            </w:r>
            <w:r w:rsidR="000667E1" w:rsidRPr="000667E1">
              <w:rPr>
                <w:rFonts w:ascii="Calibri" w:hAnsi="Calibri"/>
                <w:color w:val="000000"/>
                <w:sz w:val="22"/>
                <w:szCs w:val="22"/>
              </w:rPr>
              <w:t>8-Feb-13</w:t>
            </w:r>
          </w:p>
        </w:tc>
        <w:tc>
          <w:tcPr>
            <w:tcW w:w="4075" w:type="dxa"/>
            <w:shd w:val="clear" w:color="auto" w:fill="auto"/>
            <w:noWrap/>
            <w:vAlign w:val="center"/>
            <w:hideMark/>
          </w:tcPr>
          <w:p w:rsidR="00AC38BD" w:rsidRDefault="000667E1" w:rsidP="00AC38BD">
            <w:pPr>
              <w:rPr>
                <w:rFonts w:ascii="Calibri" w:hAnsi="Calibri"/>
                <w:color w:val="000000"/>
                <w:sz w:val="22"/>
                <w:szCs w:val="22"/>
              </w:rPr>
            </w:pPr>
            <w:r w:rsidRPr="000667E1">
              <w:rPr>
                <w:rFonts w:ascii="Calibri" w:hAnsi="Calibri"/>
                <w:color w:val="000000"/>
                <w:sz w:val="22"/>
                <w:szCs w:val="22"/>
              </w:rPr>
              <w:t xml:space="preserve">Nomination of M. Magnusson </w:t>
            </w:r>
          </w:p>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for YWCA award</w:t>
            </w:r>
          </w:p>
        </w:tc>
        <w:tc>
          <w:tcPr>
            <w:tcW w:w="1260"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080" w:type="dxa"/>
            <w:shd w:val="clear" w:color="auto" w:fill="auto"/>
            <w:noWrap/>
            <w:vAlign w:val="center"/>
            <w:hideMark/>
          </w:tcPr>
          <w:p w:rsidR="000667E1" w:rsidRPr="000667E1" w:rsidRDefault="00AC38BD" w:rsidP="00AC38BD">
            <w:pPr>
              <w:ind w:right="-108"/>
              <w:rPr>
                <w:rFonts w:ascii="Calibri" w:hAnsi="Calibri"/>
                <w:color w:val="000000"/>
                <w:sz w:val="22"/>
                <w:szCs w:val="22"/>
              </w:rPr>
            </w:pPr>
            <w:r>
              <w:rPr>
                <w:rFonts w:ascii="Calibri" w:hAnsi="Calibri"/>
                <w:color w:val="000000"/>
                <w:sz w:val="22"/>
                <w:szCs w:val="22"/>
              </w:rPr>
              <w:t xml:space="preserve">$  </w:t>
            </w:r>
            <w:r w:rsidR="000667E1" w:rsidRPr="000667E1">
              <w:rPr>
                <w:rFonts w:ascii="Calibri" w:hAnsi="Calibri"/>
                <w:color w:val="000000"/>
                <w:sz w:val="22"/>
                <w:szCs w:val="22"/>
              </w:rPr>
              <w:t xml:space="preserve">80.00 </w:t>
            </w: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244.22 </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26-Mar-13</w:t>
            </w:r>
          </w:p>
        </w:tc>
        <w:tc>
          <w:tcPr>
            <w:tcW w:w="4075" w:type="dxa"/>
            <w:shd w:val="clear" w:color="auto" w:fill="auto"/>
            <w:noWrap/>
            <w:vAlign w:val="center"/>
            <w:hideMark/>
          </w:tcPr>
          <w:p w:rsidR="00AC38BD" w:rsidRDefault="000667E1" w:rsidP="00AC38BD">
            <w:pPr>
              <w:rPr>
                <w:rFonts w:ascii="Calibri" w:hAnsi="Calibri"/>
                <w:color w:val="000000"/>
                <w:sz w:val="22"/>
                <w:szCs w:val="22"/>
              </w:rPr>
            </w:pPr>
            <w:r w:rsidRPr="000667E1">
              <w:rPr>
                <w:rFonts w:ascii="Calibri" w:hAnsi="Calibri"/>
                <w:color w:val="000000"/>
                <w:sz w:val="22"/>
                <w:szCs w:val="22"/>
              </w:rPr>
              <w:t xml:space="preserve">International Women's Day reception </w:t>
            </w:r>
          </w:p>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refreshments</w:t>
            </w:r>
          </w:p>
        </w:tc>
        <w:tc>
          <w:tcPr>
            <w:tcW w:w="1260"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080" w:type="dxa"/>
            <w:shd w:val="clear" w:color="auto" w:fill="auto"/>
            <w:noWrap/>
            <w:vAlign w:val="center"/>
            <w:hideMark/>
          </w:tcPr>
          <w:p w:rsidR="000667E1" w:rsidRPr="000667E1" w:rsidRDefault="00AC38BD" w:rsidP="00AC38BD">
            <w:pPr>
              <w:ind w:right="-108"/>
              <w:rPr>
                <w:rFonts w:ascii="Calibri" w:hAnsi="Calibri"/>
                <w:color w:val="000000"/>
                <w:sz w:val="22"/>
                <w:szCs w:val="22"/>
              </w:rPr>
            </w:pPr>
            <w:r>
              <w:rPr>
                <w:rFonts w:ascii="Calibri" w:hAnsi="Calibri"/>
                <w:color w:val="000000"/>
                <w:sz w:val="22"/>
                <w:szCs w:val="22"/>
              </w:rPr>
              <w:t xml:space="preserve">$ </w:t>
            </w:r>
            <w:r w:rsidR="000667E1" w:rsidRPr="000667E1">
              <w:rPr>
                <w:rFonts w:ascii="Calibri" w:hAnsi="Calibri"/>
                <w:color w:val="000000"/>
                <w:sz w:val="22"/>
                <w:szCs w:val="22"/>
              </w:rPr>
              <w:t xml:space="preserve">366.87 </w:t>
            </w:r>
          </w:p>
        </w:tc>
        <w:tc>
          <w:tcPr>
            <w:tcW w:w="1620" w:type="dxa"/>
            <w:shd w:val="clear" w:color="auto" w:fill="auto"/>
            <w:noWrap/>
            <w:vAlign w:val="center"/>
            <w:hideMark/>
          </w:tcPr>
          <w:p w:rsidR="000667E1" w:rsidRPr="000667E1" w:rsidRDefault="000667E1" w:rsidP="00045DB8">
            <w:pPr>
              <w:rPr>
                <w:rFonts w:ascii="Calibri" w:hAnsi="Calibri"/>
                <w:color w:val="000000"/>
                <w:sz w:val="22"/>
                <w:szCs w:val="22"/>
              </w:rPr>
            </w:pPr>
            <w:r w:rsidRPr="000667E1">
              <w:rPr>
                <w:rFonts w:ascii="Calibri" w:hAnsi="Calibri"/>
                <w:color w:val="000000"/>
                <w:sz w:val="22"/>
                <w:szCs w:val="22"/>
              </w:rPr>
              <w:t xml:space="preserve"> $ </w:t>
            </w:r>
            <w:r w:rsidR="00045DB8">
              <w:rPr>
                <w:rFonts w:ascii="Calibri" w:hAnsi="Calibri"/>
                <w:color w:val="000000"/>
                <w:sz w:val="22"/>
                <w:szCs w:val="22"/>
              </w:rPr>
              <w:t>(</w:t>
            </w:r>
            <w:r w:rsidRPr="000667E1">
              <w:rPr>
                <w:rFonts w:ascii="Calibri" w:hAnsi="Calibri"/>
                <w:color w:val="000000"/>
                <w:sz w:val="22"/>
                <w:szCs w:val="22"/>
              </w:rPr>
              <w:t>122.65)</w:t>
            </w:r>
          </w:p>
        </w:tc>
      </w:tr>
      <w:tr w:rsidR="000667E1" w:rsidRPr="000667E1" w:rsidTr="00AC38BD">
        <w:trPr>
          <w:trHeight w:val="300"/>
        </w:trPr>
        <w:tc>
          <w:tcPr>
            <w:tcW w:w="1340"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26-Mar-13</w:t>
            </w:r>
          </w:p>
        </w:tc>
        <w:tc>
          <w:tcPr>
            <w:tcW w:w="4075" w:type="dxa"/>
            <w:shd w:val="clear" w:color="auto" w:fill="auto"/>
            <w:noWrap/>
            <w:vAlign w:val="center"/>
            <w:hideMark/>
          </w:tcPr>
          <w:p w:rsidR="000667E1" w:rsidRPr="000667E1" w:rsidRDefault="000667E1" w:rsidP="00AC38BD">
            <w:pPr>
              <w:rPr>
                <w:rFonts w:ascii="Calibri" w:hAnsi="Calibri"/>
                <w:color w:val="000000"/>
                <w:sz w:val="22"/>
                <w:szCs w:val="22"/>
              </w:rPr>
            </w:pPr>
            <w:r w:rsidRPr="000667E1">
              <w:rPr>
                <w:rFonts w:ascii="Calibri" w:hAnsi="Calibri"/>
                <w:color w:val="000000"/>
                <w:sz w:val="22"/>
                <w:szCs w:val="22"/>
              </w:rPr>
              <w:t>IWD musicians honorarium</w:t>
            </w:r>
          </w:p>
        </w:tc>
        <w:tc>
          <w:tcPr>
            <w:tcW w:w="1260" w:type="dxa"/>
            <w:shd w:val="clear" w:color="auto" w:fill="auto"/>
            <w:noWrap/>
            <w:vAlign w:val="center"/>
            <w:hideMark/>
          </w:tcPr>
          <w:p w:rsidR="000667E1" w:rsidRPr="000667E1" w:rsidRDefault="000667E1" w:rsidP="00AC38BD">
            <w:pPr>
              <w:rPr>
                <w:rFonts w:ascii="Calibri" w:hAnsi="Calibri"/>
                <w:color w:val="000000"/>
                <w:sz w:val="22"/>
                <w:szCs w:val="22"/>
              </w:rPr>
            </w:pPr>
          </w:p>
        </w:tc>
        <w:tc>
          <w:tcPr>
            <w:tcW w:w="1080" w:type="dxa"/>
            <w:shd w:val="clear" w:color="auto" w:fill="auto"/>
            <w:noWrap/>
            <w:vAlign w:val="center"/>
            <w:hideMark/>
          </w:tcPr>
          <w:p w:rsidR="000667E1" w:rsidRPr="000667E1" w:rsidRDefault="00AC38BD" w:rsidP="00AC38BD">
            <w:pPr>
              <w:ind w:right="-108"/>
              <w:rPr>
                <w:rFonts w:ascii="Calibri" w:hAnsi="Calibri"/>
                <w:color w:val="000000"/>
                <w:sz w:val="22"/>
                <w:szCs w:val="22"/>
              </w:rPr>
            </w:pPr>
            <w:r>
              <w:rPr>
                <w:rFonts w:ascii="Calibri" w:hAnsi="Calibri"/>
                <w:color w:val="000000"/>
                <w:sz w:val="22"/>
                <w:szCs w:val="22"/>
              </w:rPr>
              <w:t xml:space="preserve">$ </w:t>
            </w:r>
            <w:r w:rsidR="000667E1" w:rsidRPr="000667E1">
              <w:rPr>
                <w:rFonts w:ascii="Calibri" w:hAnsi="Calibri"/>
                <w:color w:val="000000"/>
                <w:sz w:val="22"/>
                <w:szCs w:val="22"/>
              </w:rPr>
              <w:t xml:space="preserve">120.00 </w:t>
            </w:r>
          </w:p>
        </w:tc>
        <w:tc>
          <w:tcPr>
            <w:tcW w:w="1620" w:type="dxa"/>
            <w:shd w:val="clear" w:color="auto" w:fill="auto"/>
            <w:noWrap/>
            <w:vAlign w:val="center"/>
            <w:hideMark/>
          </w:tcPr>
          <w:p w:rsidR="000667E1" w:rsidRPr="000667E1" w:rsidRDefault="00045DB8" w:rsidP="00045DB8">
            <w:pPr>
              <w:rPr>
                <w:rFonts w:ascii="Calibri" w:hAnsi="Calibri"/>
                <w:color w:val="000000"/>
                <w:sz w:val="22"/>
                <w:szCs w:val="22"/>
              </w:rPr>
            </w:pPr>
            <w:r>
              <w:rPr>
                <w:rFonts w:ascii="Calibri" w:hAnsi="Calibri"/>
                <w:color w:val="000000"/>
                <w:sz w:val="22"/>
                <w:szCs w:val="22"/>
              </w:rPr>
              <w:t xml:space="preserve"> $ </w:t>
            </w:r>
            <w:r w:rsidR="000667E1" w:rsidRPr="000667E1">
              <w:rPr>
                <w:rFonts w:ascii="Calibri" w:hAnsi="Calibri"/>
                <w:color w:val="000000"/>
                <w:sz w:val="22"/>
                <w:szCs w:val="22"/>
              </w:rPr>
              <w:t>(242.65)</w:t>
            </w:r>
          </w:p>
        </w:tc>
      </w:tr>
      <w:tr w:rsidR="00AC38BD" w:rsidRPr="000667E1" w:rsidTr="00AC38BD">
        <w:trPr>
          <w:trHeight w:val="610"/>
        </w:trPr>
        <w:tc>
          <w:tcPr>
            <w:tcW w:w="1340" w:type="dxa"/>
            <w:shd w:val="clear" w:color="auto" w:fill="auto"/>
            <w:noWrap/>
            <w:vAlign w:val="center"/>
            <w:hideMark/>
          </w:tcPr>
          <w:p w:rsidR="00AC38BD" w:rsidRPr="000667E1" w:rsidRDefault="00AC38BD" w:rsidP="00AC38BD">
            <w:pPr>
              <w:rPr>
                <w:rFonts w:ascii="Calibri" w:hAnsi="Calibri"/>
                <w:color w:val="000000"/>
                <w:sz w:val="22"/>
                <w:szCs w:val="22"/>
              </w:rPr>
            </w:pPr>
            <w:r w:rsidRPr="000667E1">
              <w:rPr>
                <w:rFonts w:ascii="Calibri" w:hAnsi="Calibri"/>
                <w:color w:val="000000"/>
                <w:sz w:val="22"/>
                <w:szCs w:val="22"/>
              </w:rPr>
              <w:t>26-Mar-13</w:t>
            </w:r>
          </w:p>
        </w:tc>
        <w:tc>
          <w:tcPr>
            <w:tcW w:w="4075" w:type="dxa"/>
            <w:shd w:val="clear" w:color="auto" w:fill="auto"/>
            <w:noWrap/>
            <w:vAlign w:val="center"/>
            <w:hideMark/>
          </w:tcPr>
          <w:p w:rsidR="00AC38BD" w:rsidRPr="000667E1" w:rsidRDefault="00AC38BD" w:rsidP="00AC38BD">
            <w:pPr>
              <w:rPr>
                <w:rFonts w:ascii="Calibri" w:hAnsi="Calibri"/>
                <w:color w:val="000000"/>
                <w:sz w:val="22"/>
                <w:szCs w:val="22"/>
              </w:rPr>
            </w:pPr>
            <w:r w:rsidRPr="000667E1">
              <w:rPr>
                <w:rFonts w:ascii="Calibri" w:hAnsi="Calibri"/>
                <w:color w:val="000000"/>
                <w:sz w:val="22"/>
                <w:szCs w:val="22"/>
              </w:rPr>
              <w:t xml:space="preserve">WRN "Aboriginal Research Methodology" </w:t>
            </w:r>
          </w:p>
          <w:p w:rsidR="00AC38BD" w:rsidRPr="000667E1" w:rsidRDefault="00AC38BD" w:rsidP="00AC38BD">
            <w:pPr>
              <w:rPr>
                <w:rFonts w:ascii="Calibri" w:hAnsi="Calibri"/>
                <w:color w:val="000000"/>
                <w:sz w:val="22"/>
                <w:szCs w:val="22"/>
              </w:rPr>
            </w:pPr>
            <w:r w:rsidRPr="000667E1">
              <w:rPr>
                <w:rFonts w:ascii="Calibri" w:hAnsi="Calibri"/>
                <w:color w:val="000000"/>
                <w:sz w:val="22"/>
                <w:szCs w:val="22"/>
              </w:rPr>
              <w:t>workshop refreshments</w:t>
            </w:r>
          </w:p>
        </w:tc>
        <w:tc>
          <w:tcPr>
            <w:tcW w:w="1260" w:type="dxa"/>
            <w:shd w:val="clear" w:color="auto" w:fill="auto"/>
            <w:noWrap/>
            <w:vAlign w:val="center"/>
            <w:hideMark/>
          </w:tcPr>
          <w:p w:rsidR="00AC38BD" w:rsidRPr="000667E1" w:rsidRDefault="00AC38BD" w:rsidP="00AC38BD">
            <w:pPr>
              <w:rPr>
                <w:rFonts w:ascii="Calibri" w:hAnsi="Calibri"/>
                <w:color w:val="000000"/>
                <w:sz w:val="22"/>
                <w:szCs w:val="22"/>
              </w:rPr>
            </w:pPr>
          </w:p>
        </w:tc>
        <w:tc>
          <w:tcPr>
            <w:tcW w:w="1080" w:type="dxa"/>
            <w:shd w:val="clear" w:color="auto" w:fill="auto"/>
            <w:noWrap/>
            <w:vAlign w:val="center"/>
            <w:hideMark/>
          </w:tcPr>
          <w:p w:rsidR="00AC38BD" w:rsidRPr="000667E1" w:rsidRDefault="00AC38BD" w:rsidP="00AC38BD">
            <w:pPr>
              <w:ind w:right="-108"/>
              <w:rPr>
                <w:rFonts w:ascii="Calibri" w:hAnsi="Calibri"/>
                <w:color w:val="000000"/>
                <w:sz w:val="22"/>
                <w:szCs w:val="22"/>
              </w:rPr>
            </w:pPr>
            <w:r w:rsidRPr="000667E1">
              <w:rPr>
                <w:rFonts w:ascii="Calibri" w:hAnsi="Calibri"/>
                <w:color w:val="000000"/>
                <w:sz w:val="22"/>
                <w:szCs w:val="22"/>
              </w:rPr>
              <w:t>$</w:t>
            </w:r>
            <w:r>
              <w:rPr>
                <w:rFonts w:ascii="Calibri" w:hAnsi="Calibri"/>
                <w:color w:val="000000"/>
                <w:sz w:val="22"/>
                <w:szCs w:val="22"/>
              </w:rPr>
              <w:t xml:space="preserve">  </w:t>
            </w:r>
            <w:r w:rsidRPr="000667E1">
              <w:rPr>
                <w:rFonts w:ascii="Calibri" w:hAnsi="Calibri"/>
                <w:color w:val="000000"/>
                <w:sz w:val="22"/>
                <w:szCs w:val="22"/>
              </w:rPr>
              <w:t xml:space="preserve"> 42.67 </w:t>
            </w:r>
          </w:p>
        </w:tc>
        <w:tc>
          <w:tcPr>
            <w:tcW w:w="1620" w:type="dxa"/>
            <w:shd w:val="clear" w:color="auto" w:fill="auto"/>
            <w:noWrap/>
            <w:vAlign w:val="center"/>
            <w:hideMark/>
          </w:tcPr>
          <w:p w:rsidR="00AC38BD" w:rsidRPr="000667E1" w:rsidRDefault="00AC38BD" w:rsidP="00045DB8">
            <w:pPr>
              <w:rPr>
                <w:rFonts w:ascii="Calibri" w:hAnsi="Calibri"/>
                <w:color w:val="000000"/>
                <w:sz w:val="22"/>
                <w:szCs w:val="22"/>
              </w:rPr>
            </w:pPr>
            <w:r w:rsidRPr="000667E1">
              <w:rPr>
                <w:rFonts w:ascii="Calibri" w:hAnsi="Calibri"/>
                <w:color w:val="000000"/>
                <w:sz w:val="22"/>
                <w:szCs w:val="22"/>
              </w:rPr>
              <w:t xml:space="preserve"> $ (285.32)</w:t>
            </w:r>
          </w:p>
        </w:tc>
      </w:tr>
      <w:tr w:rsidR="0012257D" w:rsidRPr="000667E1" w:rsidTr="007E11D9">
        <w:trPr>
          <w:trHeight w:val="610"/>
        </w:trPr>
        <w:tc>
          <w:tcPr>
            <w:tcW w:w="1340" w:type="dxa"/>
            <w:shd w:val="clear" w:color="auto" w:fill="auto"/>
            <w:noWrap/>
            <w:hideMark/>
          </w:tcPr>
          <w:p w:rsidR="0012257D" w:rsidRDefault="0012257D">
            <w:pPr>
              <w:autoSpaceDE w:val="0"/>
              <w:autoSpaceDN w:val="0"/>
              <w:adjustRightInd w:val="0"/>
              <w:rPr>
                <w:rFonts w:ascii="Calibri" w:eastAsiaTheme="minorHAnsi" w:hAnsi="Calibri" w:cs="Calibri"/>
                <w:color w:val="000000"/>
                <w:sz w:val="22"/>
                <w:szCs w:val="22"/>
              </w:rPr>
            </w:pPr>
            <w:r>
              <w:rPr>
                <w:rFonts w:ascii="Calibri" w:hAnsi="Calibri"/>
                <w:color w:val="000000"/>
                <w:sz w:val="22"/>
                <w:szCs w:val="22"/>
              </w:rPr>
              <w:t>6-May-13</w:t>
            </w:r>
          </w:p>
        </w:tc>
        <w:tc>
          <w:tcPr>
            <w:tcW w:w="4075" w:type="dxa"/>
            <w:shd w:val="clear" w:color="auto" w:fill="auto"/>
            <w:noWrap/>
            <w:hideMark/>
          </w:tcPr>
          <w:p w:rsidR="0012257D" w:rsidRDefault="0012257D">
            <w:pPr>
              <w:autoSpaceDE w:val="0"/>
              <w:autoSpaceDN w:val="0"/>
              <w:adjustRightInd w:val="0"/>
              <w:rPr>
                <w:rFonts w:ascii="Calibri" w:eastAsiaTheme="minorHAnsi" w:hAnsi="Calibri" w:cs="Calibri"/>
                <w:color w:val="000000"/>
                <w:sz w:val="22"/>
                <w:szCs w:val="22"/>
              </w:rPr>
            </w:pPr>
            <w:r>
              <w:rPr>
                <w:rFonts w:ascii="Calibri" w:hAnsi="Calibri"/>
                <w:color w:val="000000"/>
                <w:sz w:val="22"/>
                <w:szCs w:val="22"/>
              </w:rPr>
              <w:t>Promotion and Tenure Dossier Workshop refreshments</w:t>
            </w:r>
          </w:p>
        </w:tc>
        <w:tc>
          <w:tcPr>
            <w:tcW w:w="1260" w:type="dxa"/>
            <w:shd w:val="clear" w:color="auto" w:fill="auto"/>
            <w:noWrap/>
            <w:hideMark/>
          </w:tcPr>
          <w:p w:rsidR="0012257D" w:rsidRDefault="0012257D" w:rsidP="003B500B">
            <w:pPr>
              <w:autoSpaceDE w:val="0"/>
              <w:autoSpaceDN w:val="0"/>
              <w:adjustRightInd w:val="0"/>
              <w:rPr>
                <w:rFonts w:ascii="Calibri" w:eastAsiaTheme="minorHAnsi" w:hAnsi="Calibri" w:cs="Calibri"/>
                <w:color w:val="000000"/>
                <w:sz w:val="22"/>
                <w:szCs w:val="22"/>
              </w:rPr>
            </w:pPr>
          </w:p>
        </w:tc>
        <w:tc>
          <w:tcPr>
            <w:tcW w:w="1080" w:type="dxa"/>
            <w:shd w:val="clear" w:color="auto" w:fill="auto"/>
            <w:noWrap/>
            <w:hideMark/>
          </w:tcPr>
          <w:p w:rsidR="0012257D" w:rsidRDefault="0012257D" w:rsidP="0012257D">
            <w:pPr>
              <w:autoSpaceDE w:val="0"/>
              <w:autoSpaceDN w:val="0"/>
              <w:adjustRightInd w:val="0"/>
              <w:rPr>
                <w:rFonts w:ascii="Calibri" w:eastAsiaTheme="minorHAnsi" w:hAnsi="Calibri" w:cs="Calibri"/>
                <w:color w:val="000000"/>
                <w:sz w:val="22"/>
                <w:szCs w:val="22"/>
              </w:rPr>
            </w:pPr>
            <w:r>
              <w:rPr>
                <w:rFonts w:ascii="Calibri" w:hAnsi="Calibri"/>
                <w:color w:val="000000"/>
                <w:sz w:val="22"/>
                <w:szCs w:val="22"/>
              </w:rPr>
              <w:t>$   54.27</w:t>
            </w:r>
          </w:p>
        </w:tc>
        <w:tc>
          <w:tcPr>
            <w:tcW w:w="1620" w:type="dxa"/>
            <w:shd w:val="clear" w:color="auto" w:fill="auto"/>
            <w:noWrap/>
            <w:hideMark/>
          </w:tcPr>
          <w:p w:rsidR="0012257D" w:rsidRDefault="0012257D" w:rsidP="0012257D">
            <w:pPr>
              <w:autoSpaceDE w:val="0"/>
              <w:autoSpaceDN w:val="0"/>
              <w:adjustRightInd w:val="0"/>
              <w:rPr>
                <w:rFonts w:ascii="Calibri" w:eastAsiaTheme="minorHAnsi" w:hAnsi="Calibri" w:cs="Calibri"/>
                <w:color w:val="000000"/>
                <w:sz w:val="22"/>
                <w:szCs w:val="22"/>
              </w:rPr>
            </w:pPr>
            <w:r>
              <w:rPr>
                <w:rFonts w:ascii="Calibri" w:hAnsi="Calibri"/>
                <w:color w:val="000000"/>
                <w:sz w:val="22"/>
                <w:szCs w:val="22"/>
              </w:rPr>
              <w:t>$  (339.59)</w:t>
            </w:r>
          </w:p>
        </w:tc>
      </w:tr>
      <w:tr w:rsidR="003B500B" w:rsidRPr="000667E1" w:rsidTr="007E11D9">
        <w:trPr>
          <w:trHeight w:val="610"/>
        </w:trPr>
        <w:tc>
          <w:tcPr>
            <w:tcW w:w="1340" w:type="dxa"/>
            <w:shd w:val="clear" w:color="auto" w:fill="auto"/>
            <w:noWrap/>
            <w:hideMark/>
          </w:tcPr>
          <w:p w:rsidR="003B500B" w:rsidRDefault="003B500B">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2012-2013</w:t>
            </w:r>
          </w:p>
        </w:tc>
        <w:tc>
          <w:tcPr>
            <w:tcW w:w="4075" w:type="dxa"/>
            <w:shd w:val="clear" w:color="auto" w:fill="auto"/>
            <w:noWrap/>
            <w:hideMark/>
          </w:tcPr>
          <w:p w:rsidR="003B500B" w:rsidRDefault="003B500B">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Totals</w:t>
            </w:r>
          </w:p>
        </w:tc>
        <w:tc>
          <w:tcPr>
            <w:tcW w:w="1260" w:type="dxa"/>
            <w:shd w:val="clear" w:color="auto" w:fill="auto"/>
            <w:noWrap/>
            <w:hideMark/>
          </w:tcPr>
          <w:p w:rsidR="003B500B" w:rsidRDefault="003B500B" w:rsidP="003B500B">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 xml:space="preserve">$  710.00 </w:t>
            </w:r>
          </w:p>
        </w:tc>
        <w:tc>
          <w:tcPr>
            <w:tcW w:w="1080" w:type="dxa"/>
            <w:shd w:val="clear" w:color="auto" w:fill="auto"/>
            <w:noWrap/>
            <w:hideMark/>
          </w:tcPr>
          <w:p w:rsidR="003B500B" w:rsidRDefault="003B500B" w:rsidP="003B500B">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 xml:space="preserve">$1,035.83 </w:t>
            </w:r>
          </w:p>
        </w:tc>
        <w:tc>
          <w:tcPr>
            <w:tcW w:w="1620" w:type="dxa"/>
            <w:shd w:val="clear" w:color="auto" w:fill="auto"/>
            <w:noWrap/>
            <w:hideMark/>
          </w:tcPr>
          <w:p w:rsidR="003B500B" w:rsidRDefault="003B500B" w:rsidP="003B500B">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  (339.59)</w:t>
            </w:r>
          </w:p>
        </w:tc>
      </w:tr>
    </w:tbl>
    <w:p w:rsidR="000667E1" w:rsidRDefault="000667E1" w:rsidP="000667E1">
      <w:pPr>
        <w:ind w:left="360" w:hanging="360"/>
      </w:pPr>
    </w:p>
    <w:p w:rsidR="000667E1" w:rsidRDefault="000667E1" w:rsidP="000667E1"/>
    <w:p w:rsidR="000667E1" w:rsidRDefault="000667E1" w:rsidP="000667E1">
      <w:pPr>
        <w:ind w:left="360"/>
        <w:rPr>
          <w:rFonts w:ascii="Arial" w:hAnsi="Arial" w:cs="Arial"/>
          <w:b/>
          <w:sz w:val="22"/>
          <w:szCs w:val="22"/>
        </w:rPr>
      </w:pPr>
    </w:p>
    <w:p w:rsidR="000667E1" w:rsidRDefault="000667E1" w:rsidP="000667E1">
      <w:pPr>
        <w:ind w:left="360" w:hanging="360"/>
        <w:rPr>
          <w:rFonts w:ascii="Arial" w:hAnsi="Arial" w:cs="Arial"/>
          <w:b/>
          <w:sz w:val="22"/>
          <w:szCs w:val="22"/>
        </w:rPr>
      </w:pPr>
    </w:p>
    <w:p w:rsidR="000667E1" w:rsidRDefault="000667E1" w:rsidP="000667E1">
      <w:pPr>
        <w:ind w:left="360" w:hanging="360"/>
        <w:rPr>
          <w:rFonts w:ascii="Arial" w:hAnsi="Arial" w:cs="Arial"/>
          <w:b/>
          <w:sz w:val="22"/>
          <w:szCs w:val="22"/>
        </w:rPr>
      </w:pPr>
    </w:p>
    <w:p w:rsidR="000667E1" w:rsidRPr="00EE128A" w:rsidRDefault="000667E1" w:rsidP="000667E1">
      <w:pPr>
        <w:ind w:left="360" w:hanging="360"/>
        <w:rPr>
          <w:rFonts w:ascii="Arial" w:hAnsi="Arial" w:cs="Arial"/>
          <w:b/>
          <w:sz w:val="22"/>
          <w:szCs w:val="22"/>
        </w:rPr>
      </w:pPr>
    </w:p>
    <w:p w:rsidR="00EE128A" w:rsidRPr="00EE128A" w:rsidRDefault="00EE128A" w:rsidP="00EE128A">
      <w:pPr>
        <w:tabs>
          <w:tab w:val="num" w:pos="360"/>
          <w:tab w:val="left" w:pos="9893"/>
        </w:tabs>
        <w:ind w:left="360"/>
        <w:jc w:val="right"/>
        <w:rPr>
          <w:sz w:val="20"/>
          <w:szCs w:val="20"/>
        </w:rPr>
      </w:pPr>
      <w:r w:rsidRPr="00EE128A">
        <w:rPr>
          <w:sz w:val="20"/>
          <w:szCs w:val="20"/>
        </w:rPr>
        <w:t>Kathleen Nichol</w:t>
      </w:r>
      <w:r w:rsidR="00FD19F1">
        <w:rPr>
          <w:sz w:val="20"/>
          <w:szCs w:val="20"/>
        </w:rPr>
        <w:t xml:space="preserve">, </w:t>
      </w:r>
      <w:r w:rsidRPr="00EE128A">
        <w:rPr>
          <w:sz w:val="20"/>
          <w:szCs w:val="20"/>
        </w:rPr>
        <w:t xml:space="preserve">for </w:t>
      </w:r>
    </w:p>
    <w:p w:rsidR="00EE128A" w:rsidRPr="00EE128A" w:rsidRDefault="00EE128A" w:rsidP="00EE128A">
      <w:pPr>
        <w:tabs>
          <w:tab w:val="num" w:pos="360"/>
          <w:tab w:val="left" w:pos="9893"/>
        </w:tabs>
        <w:ind w:left="360"/>
        <w:jc w:val="right"/>
        <w:rPr>
          <w:sz w:val="20"/>
          <w:szCs w:val="20"/>
        </w:rPr>
      </w:pPr>
      <w:r w:rsidRPr="00EE128A">
        <w:rPr>
          <w:sz w:val="20"/>
          <w:szCs w:val="20"/>
        </w:rPr>
        <w:t>The Status of Women Review Committee</w:t>
      </w:r>
    </w:p>
    <w:p w:rsidR="00875A4D" w:rsidRDefault="007E11D9" w:rsidP="00FD19F1">
      <w:pPr>
        <w:tabs>
          <w:tab w:val="num" w:pos="360"/>
          <w:tab w:val="left" w:pos="9893"/>
        </w:tabs>
        <w:ind w:left="360"/>
        <w:jc w:val="right"/>
        <w:rPr>
          <w:sz w:val="20"/>
          <w:szCs w:val="20"/>
        </w:rPr>
      </w:pPr>
      <w:r>
        <w:rPr>
          <w:sz w:val="20"/>
          <w:szCs w:val="20"/>
        </w:rPr>
        <w:t>May 14</w:t>
      </w:r>
      <w:r w:rsidR="00EE128A" w:rsidRPr="00EE128A">
        <w:rPr>
          <w:sz w:val="20"/>
          <w:szCs w:val="20"/>
        </w:rPr>
        <w:t>, 201</w:t>
      </w:r>
      <w:r w:rsidR="00045DB8">
        <w:rPr>
          <w:sz w:val="20"/>
          <w:szCs w:val="20"/>
        </w:rPr>
        <w:t>3</w:t>
      </w:r>
    </w:p>
    <w:p w:rsidR="0012257D" w:rsidRDefault="0012257D" w:rsidP="00FD19F1">
      <w:pPr>
        <w:tabs>
          <w:tab w:val="num" w:pos="360"/>
          <w:tab w:val="left" w:pos="9893"/>
        </w:tabs>
        <w:ind w:left="360"/>
        <w:jc w:val="right"/>
        <w:rPr>
          <w:sz w:val="20"/>
          <w:szCs w:val="20"/>
        </w:rPr>
      </w:pPr>
    </w:p>
    <w:p w:rsidR="0012257D" w:rsidRDefault="0012257D" w:rsidP="0012257D">
      <w:pPr>
        <w:tabs>
          <w:tab w:val="num" w:pos="360"/>
          <w:tab w:val="left" w:pos="9893"/>
        </w:tabs>
        <w:ind w:left="360"/>
        <w:rPr>
          <w:b/>
        </w:rPr>
      </w:pPr>
    </w:p>
    <w:sectPr w:rsidR="0012257D" w:rsidSect="00E8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92B"/>
    <w:multiLevelType w:val="hybridMultilevel"/>
    <w:tmpl w:val="5DDA0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737F3"/>
    <w:multiLevelType w:val="hybridMultilevel"/>
    <w:tmpl w:val="C486C25A"/>
    <w:lvl w:ilvl="0" w:tplc="FFFFFFFF">
      <w:start w:val="1"/>
      <w:numFmt w:val="decimal"/>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77C2ACB2">
      <w:start w:val="1"/>
      <w:numFmt w:val="lowerLetter"/>
      <w:lvlText w:val="(%4)"/>
      <w:lvlJc w:val="left"/>
      <w:pPr>
        <w:tabs>
          <w:tab w:val="num" w:pos="2880"/>
        </w:tabs>
        <w:ind w:left="2880" w:hanging="360"/>
      </w:pPr>
      <w:rPr>
        <w:rFonts w:cs="Times New Roman" w:hint="default"/>
        <w:b/>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D01630C"/>
    <w:multiLevelType w:val="hybridMultilevel"/>
    <w:tmpl w:val="F9327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D961F8"/>
    <w:multiLevelType w:val="hybridMultilevel"/>
    <w:tmpl w:val="7D10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E27D3B"/>
    <w:multiLevelType w:val="hybridMultilevel"/>
    <w:tmpl w:val="65B40C40"/>
    <w:lvl w:ilvl="0" w:tplc="570278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5C51DE2"/>
    <w:multiLevelType w:val="hybridMultilevel"/>
    <w:tmpl w:val="F1E09F0A"/>
    <w:lvl w:ilvl="0" w:tplc="1FA8D6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FCB3AA8"/>
    <w:multiLevelType w:val="hybridMultilevel"/>
    <w:tmpl w:val="F8407B76"/>
    <w:lvl w:ilvl="0" w:tplc="E5ACA76E">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83243"/>
    <w:multiLevelType w:val="hybridMultilevel"/>
    <w:tmpl w:val="768ECA3A"/>
    <w:lvl w:ilvl="0" w:tplc="02FCE59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79F1852"/>
    <w:multiLevelType w:val="hybridMultilevel"/>
    <w:tmpl w:val="CD80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762EA"/>
    <w:multiLevelType w:val="hybridMultilevel"/>
    <w:tmpl w:val="D7D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22B11"/>
    <w:multiLevelType w:val="hybridMultilevel"/>
    <w:tmpl w:val="E7822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4605FE"/>
    <w:multiLevelType w:val="hybridMultilevel"/>
    <w:tmpl w:val="C3A8A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F91E93"/>
    <w:multiLevelType w:val="hybridMultilevel"/>
    <w:tmpl w:val="55A0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627C12"/>
    <w:multiLevelType w:val="hybridMultilevel"/>
    <w:tmpl w:val="9EDE2CE8"/>
    <w:lvl w:ilvl="0" w:tplc="52E0DC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2"/>
  </w:num>
  <w:num w:numId="5">
    <w:abstractNumId w:val="12"/>
  </w:num>
  <w:num w:numId="6">
    <w:abstractNumId w:val="0"/>
  </w:num>
  <w:num w:numId="7">
    <w:abstractNumId w:val="3"/>
  </w:num>
  <w:num w:numId="8">
    <w:abstractNumId w:val="4"/>
  </w:num>
  <w:num w:numId="9">
    <w:abstractNumId w:val="7"/>
  </w:num>
  <w:num w:numId="10">
    <w:abstractNumId w:val="8"/>
  </w:num>
  <w:num w:numId="11">
    <w:abstractNumId w:val="5"/>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D199B"/>
    <w:rsid w:val="00045DB8"/>
    <w:rsid w:val="000667E1"/>
    <w:rsid w:val="0009417F"/>
    <w:rsid w:val="0012257D"/>
    <w:rsid w:val="001C41F9"/>
    <w:rsid w:val="002128F4"/>
    <w:rsid w:val="00275D0F"/>
    <w:rsid w:val="00367947"/>
    <w:rsid w:val="003B301F"/>
    <w:rsid w:val="003B500B"/>
    <w:rsid w:val="003C0C16"/>
    <w:rsid w:val="00490A12"/>
    <w:rsid w:val="004B06FC"/>
    <w:rsid w:val="00554C5C"/>
    <w:rsid w:val="005D199B"/>
    <w:rsid w:val="00673F1C"/>
    <w:rsid w:val="006C5BCA"/>
    <w:rsid w:val="00710E2F"/>
    <w:rsid w:val="007271EB"/>
    <w:rsid w:val="00795810"/>
    <w:rsid w:val="007A3867"/>
    <w:rsid w:val="007C69F1"/>
    <w:rsid w:val="007D0BA6"/>
    <w:rsid w:val="007E11D9"/>
    <w:rsid w:val="00854761"/>
    <w:rsid w:val="008547C9"/>
    <w:rsid w:val="00875A4D"/>
    <w:rsid w:val="008B1712"/>
    <w:rsid w:val="008B43C7"/>
    <w:rsid w:val="008C5935"/>
    <w:rsid w:val="008F1A18"/>
    <w:rsid w:val="0093425D"/>
    <w:rsid w:val="00982029"/>
    <w:rsid w:val="00A15235"/>
    <w:rsid w:val="00A505DB"/>
    <w:rsid w:val="00A51FEC"/>
    <w:rsid w:val="00A63BA6"/>
    <w:rsid w:val="00A77D60"/>
    <w:rsid w:val="00AC2622"/>
    <w:rsid w:val="00AC38BD"/>
    <w:rsid w:val="00AD3A99"/>
    <w:rsid w:val="00AF68B7"/>
    <w:rsid w:val="00BB67C6"/>
    <w:rsid w:val="00BB6E0E"/>
    <w:rsid w:val="00BC7950"/>
    <w:rsid w:val="00C30E61"/>
    <w:rsid w:val="00C57BF8"/>
    <w:rsid w:val="00CB75B0"/>
    <w:rsid w:val="00CE04F8"/>
    <w:rsid w:val="00D03C0C"/>
    <w:rsid w:val="00D5015B"/>
    <w:rsid w:val="00D56536"/>
    <w:rsid w:val="00D86A7D"/>
    <w:rsid w:val="00DA37D1"/>
    <w:rsid w:val="00E65D9C"/>
    <w:rsid w:val="00E80DA4"/>
    <w:rsid w:val="00EE128A"/>
    <w:rsid w:val="00EF1B5A"/>
    <w:rsid w:val="00F3014E"/>
    <w:rsid w:val="00F3267F"/>
    <w:rsid w:val="00F35DA3"/>
    <w:rsid w:val="00F84E35"/>
    <w:rsid w:val="00FD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9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128A"/>
    <w:pPr>
      <w:tabs>
        <w:tab w:val="left" w:pos="360"/>
        <w:tab w:val="left" w:pos="720"/>
      </w:tabs>
      <w:spacing w:before="100" w:beforeAutospacing="1" w:after="100" w:afterAutospacing="1"/>
      <w:outlineLvl w:val="0"/>
    </w:pPr>
    <w:rPr>
      <w:rFonts w:ascii="Verdana" w:hAnsi="Verdana"/>
      <w:b/>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199B"/>
    <w:pPr>
      <w:jc w:val="center"/>
    </w:pPr>
    <w:rPr>
      <w:b/>
      <w:bCs/>
    </w:rPr>
  </w:style>
  <w:style w:type="character" w:customStyle="1" w:styleId="TitleChar">
    <w:name w:val="Title Char"/>
    <w:basedOn w:val="DefaultParagraphFont"/>
    <w:link w:val="Title"/>
    <w:rsid w:val="005D199B"/>
    <w:rPr>
      <w:rFonts w:ascii="Times New Roman" w:eastAsia="Times New Roman" w:hAnsi="Times New Roman" w:cs="Times New Roman"/>
      <w:b/>
      <w:bCs/>
      <w:sz w:val="24"/>
      <w:szCs w:val="24"/>
    </w:rPr>
  </w:style>
  <w:style w:type="paragraph" w:styleId="Subtitle">
    <w:name w:val="Subtitle"/>
    <w:basedOn w:val="Normal"/>
    <w:link w:val="SubtitleChar"/>
    <w:qFormat/>
    <w:rsid w:val="005D199B"/>
    <w:pPr>
      <w:ind w:left="142"/>
      <w:jc w:val="center"/>
    </w:pPr>
    <w:rPr>
      <w:b/>
      <w:szCs w:val="20"/>
      <w:lang w:val="en-CA"/>
    </w:rPr>
  </w:style>
  <w:style w:type="character" w:customStyle="1" w:styleId="SubtitleChar">
    <w:name w:val="Subtitle Char"/>
    <w:basedOn w:val="DefaultParagraphFont"/>
    <w:link w:val="Subtitle"/>
    <w:rsid w:val="005D199B"/>
    <w:rPr>
      <w:rFonts w:ascii="Times New Roman" w:eastAsia="Times New Roman" w:hAnsi="Times New Roman" w:cs="Times New Roman"/>
      <w:b/>
      <w:sz w:val="24"/>
      <w:szCs w:val="20"/>
      <w:lang w:val="en-CA"/>
    </w:rPr>
  </w:style>
  <w:style w:type="paragraph" w:styleId="ListParagraph">
    <w:name w:val="List Paragraph"/>
    <w:basedOn w:val="Normal"/>
    <w:uiPriority w:val="34"/>
    <w:qFormat/>
    <w:rsid w:val="005D199B"/>
    <w:pPr>
      <w:ind w:left="720"/>
      <w:contextualSpacing/>
    </w:pPr>
  </w:style>
  <w:style w:type="character" w:styleId="Hyperlink">
    <w:name w:val="Hyperlink"/>
    <w:basedOn w:val="DefaultParagraphFont"/>
    <w:uiPriority w:val="99"/>
    <w:rsid w:val="00EE128A"/>
    <w:rPr>
      <w:color w:val="0000FF"/>
      <w:u w:val="single"/>
    </w:rPr>
  </w:style>
  <w:style w:type="paragraph" w:styleId="NormalWeb">
    <w:name w:val="Normal (Web)"/>
    <w:basedOn w:val="Normal"/>
    <w:uiPriority w:val="99"/>
    <w:unhideWhenUsed/>
    <w:rsid w:val="00EE128A"/>
    <w:pPr>
      <w:spacing w:before="100" w:beforeAutospacing="1" w:after="150" w:line="360" w:lineRule="atLeast"/>
    </w:pPr>
    <w:rPr>
      <w:rFonts w:ascii="Verdana" w:hAnsi="Verdana"/>
      <w:sz w:val="29"/>
      <w:szCs w:val="29"/>
    </w:rPr>
  </w:style>
  <w:style w:type="character" w:customStyle="1" w:styleId="Heading1Char">
    <w:name w:val="Heading 1 Char"/>
    <w:basedOn w:val="DefaultParagraphFont"/>
    <w:link w:val="Heading1"/>
    <w:uiPriority w:val="9"/>
    <w:rsid w:val="00EE128A"/>
    <w:rPr>
      <w:rFonts w:ascii="Verdana" w:eastAsia="Times New Roman" w:hAnsi="Verdana" w:cs="Times New Roman"/>
      <w:b/>
      <w:bCs/>
      <w:color w:val="000000"/>
      <w:kern w:val="36"/>
      <w:sz w:val="24"/>
      <w:szCs w:val="24"/>
    </w:rPr>
  </w:style>
  <w:style w:type="paragraph" w:styleId="PlainText">
    <w:name w:val="Plain Text"/>
    <w:basedOn w:val="Normal"/>
    <w:link w:val="PlainTextChar"/>
    <w:uiPriority w:val="99"/>
    <w:unhideWhenUsed/>
    <w:rsid w:val="00EE128A"/>
    <w:rPr>
      <w:rFonts w:ascii="Consolas" w:eastAsia="Calibri" w:hAnsi="Consolas"/>
      <w:sz w:val="21"/>
      <w:szCs w:val="21"/>
    </w:rPr>
  </w:style>
  <w:style w:type="character" w:customStyle="1" w:styleId="PlainTextChar">
    <w:name w:val="Plain Text Char"/>
    <w:basedOn w:val="DefaultParagraphFont"/>
    <w:link w:val="PlainText"/>
    <w:uiPriority w:val="99"/>
    <w:rsid w:val="00EE128A"/>
    <w:rPr>
      <w:rFonts w:ascii="Consolas" w:eastAsia="Calibri" w:hAnsi="Consolas" w:cs="Times New Roman"/>
      <w:sz w:val="21"/>
      <w:szCs w:val="21"/>
    </w:rPr>
  </w:style>
  <w:style w:type="paragraph" w:styleId="BodyTextIndent">
    <w:name w:val="Body Text Indent"/>
    <w:basedOn w:val="Normal"/>
    <w:link w:val="BodyTextIndentChar"/>
    <w:rsid w:val="00EE128A"/>
    <w:pPr>
      <w:tabs>
        <w:tab w:val="left" w:pos="360"/>
        <w:tab w:val="left" w:pos="720"/>
      </w:tabs>
      <w:suppressAutoHyphens/>
      <w:overflowPunct w:val="0"/>
      <w:autoSpaceDE w:val="0"/>
      <w:autoSpaceDN w:val="0"/>
      <w:adjustRightInd w:val="0"/>
      <w:ind w:left="283" w:firstLine="709"/>
      <w:textAlignment w:val="baseline"/>
    </w:pPr>
    <w:rPr>
      <w:color w:val="000000"/>
      <w:kern w:val="1"/>
      <w:szCs w:val="20"/>
      <w:lang w:val="en-CA"/>
    </w:rPr>
  </w:style>
  <w:style w:type="character" w:customStyle="1" w:styleId="BodyTextIndentChar">
    <w:name w:val="Body Text Indent Char"/>
    <w:basedOn w:val="DefaultParagraphFont"/>
    <w:link w:val="BodyTextIndent"/>
    <w:rsid w:val="00EE128A"/>
    <w:rPr>
      <w:rFonts w:ascii="Times New Roman" w:eastAsia="Times New Roman" w:hAnsi="Times New Roman" w:cs="Times New Roman"/>
      <w:color w:val="000000"/>
      <w:kern w:val="1"/>
      <w:sz w:val="24"/>
      <w:szCs w:val="20"/>
      <w:lang w:val="en-CA"/>
    </w:rPr>
  </w:style>
  <w:style w:type="character" w:styleId="FollowedHyperlink">
    <w:name w:val="FollowedHyperlink"/>
    <w:basedOn w:val="DefaultParagraphFont"/>
    <w:uiPriority w:val="99"/>
    <w:semiHidden/>
    <w:unhideWhenUsed/>
    <w:rsid w:val="00BB67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81371">
      <w:bodyDiv w:val="1"/>
      <w:marLeft w:val="0"/>
      <w:marRight w:val="0"/>
      <w:marTop w:val="0"/>
      <w:marBottom w:val="0"/>
      <w:divBdr>
        <w:top w:val="none" w:sz="0" w:space="0" w:color="auto"/>
        <w:left w:val="none" w:sz="0" w:space="0" w:color="auto"/>
        <w:bottom w:val="none" w:sz="0" w:space="0" w:color="auto"/>
        <w:right w:val="none" w:sz="0" w:space="0" w:color="auto"/>
      </w:divBdr>
    </w:div>
    <w:div w:id="795945977">
      <w:bodyDiv w:val="1"/>
      <w:marLeft w:val="0"/>
      <w:marRight w:val="0"/>
      <w:marTop w:val="0"/>
      <w:marBottom w:val="0"/>
      <w:divBdr>
        <w:top w:val="none" w:sz="0" w:space="0" w:color="auto"/>
        <w:left w:val="none" w:sz="0" w:space="0" w:color="auto"/>
        <w:bottom w:val="none" w:sz="0" w:space="0" w:color="auto"/>
        <w:right w:val="none" w:sz="0" w:space="0" w:color="auto"/>
      </w:divBdr>
    </w:div>
    <w:div w:id="1124809318">
      <w:bodyDiv w:val="1"/>
      <w:marLeft w:val="0"/>
      <w:marRight w:val="0"/>
      <w:marTop w:val="0"/>
      <w:marBottom w:val="0"/>
      <w:divBdr>
        <w:top w:val="none" w:sz="0" w:space="0" w:color="auto"/>
        <w:left w:val="none" w:sz="0" w:space="0" w:color="auto"/>
        <w:bottom w:val="none" w:sz="0" w:space="0" w:color="auto"/>
        <w:right w:val="none" w:sz="0" w:space="0" w:color="auto"/>
      </w:divBdr>
    </w:div>
    <w:div w:id="1724937944">
      <w:bodyDiv w:val="1"/>
      <w:marLeft w:val="0"/>
      <w:marRight w:val="0"/>
      <w:marTop w:val="0"/>
      <w:marBottom w:val="0"/>
      <w:divBdr>
        <w:top w:val="none" w:sz="0" w:space="0" w:color="auto"/>
        <w:left w:val="none" w:sz="0" w:space="0" w:color="auto"/>
        <w:bottom w:val="none" w:sz="0" w:space="0" w:color="auto"/>
        <w:right w:val="none" w:sz="0" w:space="0" w:color="auto"/>
      </w:divBdr>
    </w:div>
    <w:div w:id="17349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Kathleen Nichol</cp:lastModifiedBy>
  <cp:revision>4</cp:revision>
  <dcterms:created xsi:type="dcterms:W3CDTF">2013-05-14T14:00:00Z</dcterms:created>
  <dcterms:modified xsi:type="dcterms:W3CDTF">2014-05-12T14:04:00Z</dcterms:modified>
</cp:coreProperties>
</file>